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sz w:val="20"/>
        </w:rPr>
      </w:pPr>
      <w:r>
        <w:rPr>
          <w:sz w:val="20"/>
        </w:rPr>
        <w:pict>
          <v:group style="width:481.9pt;height:56.7pt;mso-position-horizontal-relative:char;mso-position-vertical-relative:line" coordorigin="0,0" coordsize="9638,1134">
            <v:shape style="position:absolute;left:3368;top:0;width:2900;height:1134" type="#_x0000_t75" stroked="false">
              <v:imagedata r:id="rId5" o:title=""/>
            </v:shape>
            <v:line style="position:absolute" from="0,1124" to="9638,1124" stroked="true" strokeweight="1pt" strokecolor="#000000">
              <v:stroke dashstyle="solid"/>
            </v:line>
            <v:shape style="position:absolute;left:1941;top:14;width:5797;height:1114" type="#_x0000_t75" stroked="false">
              <v:imagedata r:id="rId6" o:title=""/>
            </v:shape>
            <v:shapetype id="_x0000_t202" o:spt="202" coordsize="21600,21600" path="m,l,21600r21600,l21600,xe">
              <v:stroke joinstyle="miter"/>
              <v:path gradientshapeok="t" o:connecttype="rect"/>
            </v:shapetype>
            <v:shape style="position:absolute;left:0;top:903;width:200;height:200" type="#_x0000_t202" filled="false" stroked="false">
              <v:textbox inset="0,0,0,0">
                <w:txbxContent>
                  <w:p>
                    <w:pPr>
                      <w:spacing w:line="199" w:lineRule="exact" w:before="0"/>
                      <w:ind w:left="0" w:right="0" w:firstLine="0"/>
                      <w:jc w:val="left"/>
                      <w:rPr>
                        <w:sz w:val="18"/>
                      </w:rPr>
                    </w:pPr>
                    <w:r>
                      <w:rPr>
                        <w:sz w:val="18"/>
                      </w:rPr>
                      <w:t>24</w:t>
                    </w:r>
                  </w:p>
                </w:txbxContent>
              </v:textbox>
              <w10:wrap type="none"/>
            </v:shape>
            <v:shape style="position:absolute;left:2373;top:524;width:4940;height:532" type="#_x0000_t202" filled="false" stroked="false">
              <v:textbox inset="0,0,0,0">
                <w:txbxContent>
                  <w:p>
                    <w:pPr>
                      <w:spacing w:line="532" w:lineRule="exact" w:before="0"/>
                      <w:ind w:left="0" w:right="0" w:firstLine="0"/>
                      <w:jc w:val="left"/>
                      <w:rPr>
                        <w:sz w:val="48"/>
                      </w:rPr>
                    </w:pPr>
                    <w:r>
                      <w:rPr>
                        <w:color w:val="6D6E71"/>
                        <w:sz w:val="48"/>
                      </w:rPr>
                      <w:t>Revisiones</w:t>
                    </w:r>
                    <w:r>
                      <w:rPr>
                        <w:color w:val="6D6E71"/>
                        <w:spacing w:val="-23"/>
                        <w:sz w:val="48"/>
                      </w:rPr>
                      <w:t> </w:t>
                    </w:r>
                    <w:r>
                      <w:rPr>
                        <w:color w:val="6D6E71"/>
                        <w:sz w:val="48"/>
                      </w:rPr>
                      <w:t>Bibliográficas</w:t>
                    </w:r>
                  </w:p>
                </w:txbxContent>
              </v:textbox>
              <w10:wrap type="none"/>
            </v:shape>
          </v:group>
        </w:pict>
      </w:r>
      <w:r>
        <w:rPr>
          <w:sz w:val="20"/>
        </w:rPr>
      </w:r>
    </w:p>
    <w:p>
      <w:pPr>
        <w:pStyle w:val="BodyText"/>
        <w:spacing w:before="6"/>
        <w:rPr>
          <w:sz w:val="10"/>
        </w:rPr>
      </w:pPr>
    </w:p>
    <w:p>
      <w:pPr>
        <w:spacing w:line="165" w:lineRule="exact" w:before="100"/>
        <w:ind w:left="113" w:right="0" w:firstLine="0"/>
        <w:jc w:val="left"/>
        <w:rPr>
          <w:rFonts w:ascii="Verdana"/>
          <w:sz w:val="14"/>
        </w:rPr>
      </w:pPr>
      <w:r>
        <w:rPr>
          <w:rFonts w:ascii="Verdana"/>
          <w:color w:val="808285"/>
          <w:sz w:val="14"/>
        </w:rPr>
        <w:t>Revista El Dolor 56</w:t>
      </w:r>
    </w:p>
    <w:p>
      <w:pPr>
        <w:spacing w:line="165" w:lineRule="exact" w:before="0"/>
        <w:ind w:left="113" w:right="0" w:firstLine="0"/>
        <w:jc w:val="left"/>
        <w:rPr>
          <w:rFonts w:ascii="Verdana"/>
          <w:sz w:val="14"/>
        </w:rPr>
      </w:pPr>
      <w:r>
        <w:rPr>
          <w:rFonts w:ascii="Verdana"/>
          <w:color w:val="808285"/>
          <w:sz w:val="14"/>
        </w:rPr>
        <w:t>24-30; 2011</w:t>
      </w:r>
    </w:p>
    <w:p>
      <w:pPr>
        <w:pStyle w:val="BodyText"/>
        <w:rPr>
          <w:rFonts w:ascii="Verdana"/>
          <w:sz w:val="20"/>
        </w:rPr>
      </w:pPr>
    </w:p>
    <w:p>
      <w:pPr>
        <w:pStyle w:val="BodyText"/>
        <w:spacing w:before="2"/>
        <w:rPr>
          <w:rFonts w:ascii="Verdana"/>
          <w:sz w:val="16"/>
        </w:rPr>
      </w:pPr>
    </w:p>
    <w:p>
      <w:pPr>
        <w:pStyle w:val="Title"/>
        <w:spacing w:line="196" w:lineRule="auto"/>
      </w:pPr>
      <w:r>
        <w:rPr/>
        <w:t>Rol de la Administración de Bajas Dosis de Ketamina para el Manejo del Dolor Agudo Postoperatorio</w:t>
      </w:r>
    </w:p>
    <w:p>
      <w:pPr>
        <w:spacing w:line="254" w:lineRule="auto" w:before="16"/>
        <w:ind w:left="113" w:right="0" w:firstLine="0"/>
        <w:jc w:val="left"/>
        <w:rPr>
          <w:sz w:val="28"/>
        </w:rPr>
      </w:pPr>
      <w:r>
        <w:rPr>
          <w:color w:val="808285"/>
          <w:sz w:val="28"/>
        </w:rPr>
        <w:t>Role of Administration of Low Doses of Ketamine for Postoperative Acute Pain Management</w:t>
      </w:r>
    </w:p>
    <w:p>
      <w:pPr>
        <w:spacing w:before="78"/>
        <w:ind w:left="113" w:right="0" w:firstLine="0"/>
        <w:jc w:val="left"/>
        <w:rPr>
          <w:rFonts w:ascii="Verdana" w:hAnsi="Verdana"/>
          <w:i/>
          <w:sz w:val="12"/>
        </w:rPr>
      </w:pPr>
      <w:r>
        <w:rPr>
          <w:rFonts w:ascii="Verdana" w:hAnsi="Verdana"/>
          <w:i/>
          <w:sz w:val="16"/>
        </w:rPr>
        <w:t>Contreras-Domínguez, Víctor MSc, Ph D, MBA </w:t>
      </w:r>
      <w:r>
        <w:rPr>
          <w:rFonts w:ascii="Verdana" w:hAnsi="Verdana"/>
          <w:i/>
          <w:position w:val="4"/>
          <w:sz w:val="12"/>
        </w:rPr>
        <w:t>1, 2</w:t>
      </w:r>
      <w:r>
        <w:rPr>
          <w:rFonts w:ascii="Verdana" w:hAnsi="Verdana"/>
          <w:i/>
          <w:sz w:val="16"/>
        </w:rPr>
        <w:t>, Soto R., César </w:t>
      </w:r>
      <w:r>
        <w:rPr>
          <w:rFonts w:ascii="Verdana" w:hAnsi="Verdana"/>
          <w:i/>
          <w:position w:val="4"/>
          <w:sz w:val="12"/>
        </w:rPr>
        <w:t>3</w:t>
      </w:r>
      <w:r>
        <w:rPr>
          <w:rFonts w:ascii="Verdana" w:hAnsi="Verdana"/>
          <w:i/>
          <w:sz w:val="16"/>
        </w:rPr>
        <w:t>, Carbonell-Bellolio, Paulina MBA </w:t>
      </w:r>
      <w:r>
        <w:rPr>
          <w:rFonts w:ascii="Verdana" w:hAnsi="Verdana"/>
          <w:i/>
          <w:position w:val="4"/>
          <w:sz w:val="12"/>
        </w:rPr>
        <w:t>2, 4</w:t>
      </w: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spacing w:before="9"/>
        <w:rPr>
          <w:rFonts w:ascii="Verdana"/>
          <w:i/>
          <w:sz w:val="16"/>
        </w:rPr>
      </w:pPr>
    </w:p>
    <w:p>
      <w:pPr>
        <w:spacing w:after="0"/>
        <w:rPr>
          <w:rFonts w:ascii="Verdana"/>
          <w:sz w:val="16"/>
        </w:rPr>
        <w:sectPr>
          <w:type w:val="continuous"/>
          <w:pgSz w:w="11910" w:h="15310"/>
          <w:pgMar w:top="0" w:bottom="280" w:left="1020" w:right="1020"/>
        </w:sectPr>
      </w:pPr>
    </w:p>
    <w:p>
      <w:pPr>
        <w:pStyle w:val="Heading2"/>
      </w:pPr>
      <w:r>
        <w:rPr/>
        <w:t>Resumen</w:t>
      </w:r>
    </w:p>
    <w:p>
      <w:pPr>
        <w:spacing w:line="211" w:lineRule="auto" w:before="134"/>
        <w:ind w:left="113" w:right="38" w:firstLine="0"/>
        <w:jc w:val="both"/>
        <w:rPr>
          <w:rFonts w:ascii="Verdana" w:hAnsi="Verdana"/>
          <w:sz w:val="14"/>
        </w:rPr>
      </w:pPr>
      <w:r>
        <w:rPr>
          <w:rFonts w:ascii="Verdana" w:hAnsi="Verdana"/>
          <w:spacing w:val="2"/>
          <w:sz w:val="14"/>
        </w:rPr>
        <w:t>El </w:t>
      </w:r>
      <w:r>
        <w:rPr>
          <w:rFonts w:ascii="Verdana" w:hAnsi="Verdana"/>
          <w:spacing w:val="4"/>
          <w:sz w:val="14"/>
        </w:rPr>
        <w:t>tratamiento inadecuado </w:t>
      </w:r>
      <w:r>
        <w:rPr>
          <w:rFonts w:ascii="Verdana" w:hAnsi="Verdana"/>
          <w:spacing w:val="3"/>
          <w:sz w:val="14"/>
        </w:rPr>
        <w:t>del </w:t>
      </w:r>
      <w:r>
        <w:rPr>
          <w:rFonts w:ascii="Verdana" w:hAnsi="Verdana"/>
          <w:spacing w:val="4"/>
          <w:sz w:val="14"/>
        </w:rPr>
        <w:t>dolor agudo postoperatorio  </w:t>
      </w:r>
      <w:r>
        <w:rPr>
          <w:rFonts w:ascii="Verdana" w:hAnsi="Verdana"/>
          <w:spacing w:val="2"/>
          <w:sz w:val="14"/>
        </w:rPr>
        <w:t>se </w:t>
      </w:r>
      <w:r>
        <w:rPr>
          <w:rFonts w:ascii="Verdana" w:hAnsi="Verdana"/>
          <w:spacing w:val="4"/>
          <w:sz w:val="14"/>
        </w:rPr>
        <w:t>asocia </w:t>
      </w:r>
      <w:r>
        <w:rPr>
          <w:rFonts w:ascii="Verdana" w:hAnsi="Verdana"/>
          <w:sz w:val="14"/>
        </w:rPr>
        <w:t>a </w:t>
      </w:r>
      <w:r>
        <w:rPr>
          <w:rFonts w:ascii="Verdana" w:hAnsi="Verdana"/>
          <w:spacing w:val="2"/>
          <w:sz w:val="14"/>
        </w:rPr>
        <w:t>un </w:t>
      </w:r>
      <w:r>
        <w:rPr>
          <w:rFonts w:ascii="Verdana" w:hAnsi="Verdana"/>
          <w:spacing w:val="4"/>
          <w:sz w:val="14"/>
        </w:rPr>
        <w:t>incremento </w:t>
      </w:r>
      <w:r>
        <w:rPr>
          <w:rFonts w:ascii="Verdana" w:hAnsi="Verdana"/>
          <w:spacing w:val="2"/>
          <w:sz w:val="14"/>
        </w:rPr>
        <w:t>de la </w:t>
      </w:r>
      <w:r>
        <w:rPr>
          <w:rFonts w:ascii="Verdana" w:hAnsi="Verdana"/>
          <w:spacing w:val="4"/>
          <w:sz w:val="14"/>
        </w:rPr>
        <w:t>morbilidad </w:t>
      </w:r>
      <w:r>
        <w:rPr>
          <w:rFonts w:ascii="Verdana" w:hAnsi="Verdana"/>
          <w:spacing w:val="3"/>
          <w:sz w:val="14"/>
        </w:rPr>
        <w:t>peri </w:t>
      </w:r>
      <w:r>
        <w:rPr>
          <w:rFonts w:ascii="Verdana" w:hAnsi="Verdana"/>
          <w:spacing w:val="4"/>
          <w:sz w:val="14"/>
        </w:rPr>
        <w:t>operatoria, </w:t>
      </w:r>
      <w:r>
        <w:rPr>
          <w:rFonts w:ascii="Verdana" w:hAnsi="Verdana"/>
          <w:spacing w:val="3"/>
          <w:sz w:val="14"/>
        </w:rPr>
        <w:t>por </w:t>
      </w:r>
      <w:r>
        <w:rPr>
          <w:rFonts w:ascii="Verdana" w:hAnsi="Verdana"/>
          <w:spacing w:val="2"/>
          <w:sz w:val="14"/>
        </w:rPr>
        <w:t>lo </w:t>
      </w:r>
      <w:r>
        <w:rPr>
          <w:rFonts w:ascii="Verdana" w:hAnsi="Verdana"/>
          <w:spacing w:val="3"/>
          <w:sz w:val="14"/>
        </w:rPr>
        <w:t>que </w:t>
      </w:r>
      <w:r>
        <w:rPr>
          <w:rFonts w:ascii="Verdana" w:hAnsi="Verdana"/>
          <w:spacing w:val="2"/>
          <w:sz w:val="14"/>
        </w:rPr>
        <w:t>es </w:t>
      </w:r>
      <w:r>
        <w:rPr>
          <w:rFonts w:ascii="Verdana" w:hAnsi="Verdana"/>
          <w:spacing w:val="4"/>
          <w:sz w:val="14"/>
        </w:rPr>
        <w:t>necesario poner especial énfasis </w:t>
      </w:r>
      <w:r>
        <w:rPr>
          <w:rFonts w:ascii="Verdana" w:hAnsi="Verdana"/>
          <w:spacing w:val="2"/>
          <w:sz w:val="14"/>
        </w:rPr>
        <w:t>en el </w:t>
      </w:r>
      <w:r>
        <w:rPr>
          <w:rFonts w:ascii="Verdana" w:hAnsi="Verdana"/>
          <w:spacing w:val="5"/>
          <w:sz w:val="14"/>
        </w:rPr>
        <w:t>óptimo </w:t>
      </w:r>
      <w:r>
        <w:rPr>
          <w:rFonts w:ascii="Verdana" w:hAnsi="Verdana"/>
          <w:spacing w:val="4"/>
          <w:sz w:val="14"/>
        </w:rPr>
        <w:t>manejo </w:t>
      </w:r>
      <w:r>
        <w:rPr>
          <w:rFonts w:ascii="Verdana" w:hAnsi="Verdana"/>
          <w:spacing w:val="2"/>
          <w:sz w:val="14"/>
        </w:rPr>
        <w:t>de la </w:t>
      </w:r>
      <w:r>
        <w:rPr>
          <w:rFonts w:ascii="Verdana" w:hAnsi="Verdana"/>
          <w:spacing w:val="4"/>
          <w:sz w:val="14"/>
        </w:rPr>
        <w:t>analgesia postoperatoria. </w:t>
      </w:r>
      <w:r>
        <w:rPr>
          <w:rFonts w:ascii="Verdana" w:hAnsi="Verdana"/>
          <w:spacing w:val="2"/>
          <w:sz w:val="14"/>
        </w:rPr>
        <w:t>En </w:t>
      </w:r>
      <w:r>
        <w:rPr>
          <w:rFonts w:ascii="Verdana" w:hAnsi="Verdana"/>
          <w:spacing w:val="3"/>
          <w:sz w:val="14"/>
        </w:rPr>
        <w:t>este </w:t>
      </w:r>
      <w:r>
        <w:rPr>
          <w:rFonts w:ascii="Verdana" w:hAnsi="Verdana"/>
          <w:spacing w:val="4"/>
          <w:sz w:val="14"/>
        </w:rPr>
        <w:t>contexto, </w:t>
      </w:r>
      <w:r>
        <w:rPr>
          <w:rFonts w:ascii="Verdana" w:hAnsi="Verdana"/>
          <w:spacing w:val="5"/>
          <w:sz w:val="14"/>
        </w:rPr>
        <w:t>la </w:t>
      </w:r>
      <w:r>
        <w:rPr>
          <w:rFonts w:ascii="Verdana" w:hAnsi="Verdana"/>
          <w:spacing w:val="4"/>
          <w:sz w:val="14"/>
        </w:rPr>
        <w:t>ketamina puede jugar </w:t>
      </w:r>
      <w:r>
        <w:rPr>
          <w:rFonts w:ascii="Verdana" w:hAnsi="Verdana"/>
          <w:spacing w:val="2"/>
          <w:sz w:val="14"/>
        </w:rPr>
        <w:t>un </w:t>
      </w:r>
      <w:r>
        <w:rPr>
          <w:rFonts w:ascii="Verdana" w:hAnsi="Verdana"/>
          <w:spacing w:val="3"/>
          <w:sz w:val="14"/>
        </w:rPr>
        <w:t>rol </w:t>
      </w:r>
      <w:r>
        <w:rPr>
          <w:rFonts w:ascii="Verdana" w:hAnsi="Verdana"/>
          <w:spacing w:val="2"/>
          <w:sz w:val="14"/>
        </w:rPr>
        <w:t>de </w:t>
      </w:r>
      <w:r>
        <w:rPr>
          <w:rFonts w:ascii="Verdana" w:hAnsi="Verdana"/>
          <w:spacing w:val="4"/>
          <w:sz w:val="14"/>
        </w:rPr>
        <w:t>especial interés. </w:t>
      </w:r>
      <w:r>
        <w:rPr>
          <w:rFonts w:ascii="Verdana" w:hAnsi="Verdana"/>
          <w:spacing w:val="2"/>
          <w:sz w:val="14"/>
        </w:rPr>
        <w:t>El </w:t>
      </w:r>
      <w:r>
        <w:rPr>
          <w:rFonts w:ascii="Verdana" w:hAnsi="Verdana"/>
          <w:spacing w:val="5"/>
          <w:sz w:val="14"/>
        </w:rPr>
        <w:t>principal </w:t>
      </w:r>
      <w:r>
        <w:rPr>
          <w:rFonts w:ascii="Verdana" w:hAnsi="Verdana"/>
          <w:spacing w:val="4"/>
          <w:sz w:val="14"/>
        </w:rPr>
        <w:t>sitio </w:t>
      </w:r>
      <w:r>
        <w:rPr>
          <w:rFonts w:ascii="Verdana" w:hAnsi="Verdana"/>
          <w:spacing w:val="2"/>
          <w:sz w:val="14"/>
        </w:rPr>
        <w:t>de </w:t>
      </w:r>
      <w:r>
        <w:rPr>
          <w:rFonts w:ascii="Verdana" w:hAnsi="Verdana"/>
          <w:spacing w:val="4"/>
          <w:sz w:val="14"/>
        </w:rPr>
        <w:t>acción </w:t>
      </w:r>
      <w:r>
        <w:rPr>
          <w:rFonts w:ascii="Verdana" w:hAnsi="Verdana"/>
          <w:spacing w:val="2"/>
          <w:sz w:val="14"/>
        </w:rPr>
        <w:t>de la </w:t>
      </w:r>
      <w:r>
        <w:rPr>
          <w:rFonts w:ascii="Verdana" w:hAnsi="Verdana"/>
          <w:spacing w:val="4"/>
          <w:sz w:val="14"/>
        </w:rPr>
        <w:t>ketamina </w:t>
      </w:r>
      <w:r>
        <w:rPr>
          <w:rFonts w:ascii="Verdana" w:hAnsi="Verdana"/>
          <w:spacing w:val="2"/>
          <w:sz w:val="14"/>
        </w:rPr>
        <w:t>es </w:t>
      </w:r>
      <w:r>
        <w:rPr>
          <w:rFonts w:ascii="Verdana" w:hAnsi="Verdana"/>
          <w:sz w:val="14"/>
        </w:rPr>
        <w:t>a </w:t>
      </w:r>
      <w:r>
        <w:rPr>
          <w:rFonts w:ascii="Verdana" w:hAnsi="Verdana"/>
          <w:spacing w:val="3"/>
          <w:sz w:val="14"/>
        </w:rPr>
        <w:t>nivel </w:t>
      </w:r>
      <w:r>
        <w:rPr>
          <w:rFonts w:ascii="Verdana" w:hAnsi="Verdana"/>
          <w:spacing w:val="2"/>
          <w:sz w:val="14"/>
        </w:rPr>
        <w:t>de </w:t>
      </w:r>
      <w:r>
        <w:rPr>
          <w:rFonts w:ascii="Verdana" w:hAnsi="Verdana"/>
          <w:spacing w:val="3"/>
          <w:sz w:val="14"/>
        </w:rPr>
        <w:t>las </w:t>
      </w:r>
      <w:r>
        <w:rPr>
          <w:rFonts w:ascii="Verdana" w:hAnsi="Verdana"/>
          <w:spacing w:val="4"/>
          <w:sz w:val="14"/>
        </w:rPr>
        <w:t>proyecciones tálamo neocorticales, deprimiendo selectivamente </w:t>
      </w:r>
      <w:r>
        <w:rPr>
          <w:rFonts w:ascii="Verdana" w:hAnsi="Verdana"/>
          <w:spacing w:val="2"/>
          <w:sz w:val="14"/>
        </w:rPr>
        <w:t>la </w:t>
      </w:r>
      <w:r>
        <w:rPr>
          <w:rFonts w:ascii="Verdana" w:hAnsi="Verdana"/>
          <w:spacing w:val="5"/>
          <w:sz w:val="14"/>
        </w:rPr>
        <w:t>función </w:t>
      </w:r>
      <w:r>
        <w:rPr>
          <w:rFonts w:ascii="Verdana" w:hAnsi="Verdana"/>
          <w:spacing w:val="4"/>
          <w:sz w:val="14"/>
        </w:rPr>
        <w:t>neuronal. Diversos </w:t>
      </w:r>
      <w:r>
        <w:rPr>
          <w:rFonts w:ascii="Verdana" w:hAnsi="Verdana"/>
          <w:spacing w:val="3"/>
          <w:sz w:val="14"/>
        </w:rPr>
        <w:t>son los </w:t>
      </w:r>
      <w:r>
        <w:rPr>
          <w:rFonts w:ascii="Verdana" w:hAnsi="Verdana"/>
          <w:spacing w:val="4"/>
          <w:sz w:val="14"/>
        </w:rPr>
        <w:t>estudios </w:t>
      </w:r>
      <w:r>
        <w:rPr>
          <w:rFonts w:ascii="Verdana" w:hAnsi="Verdana"/>
          <w:spacing w:val="3"/>
          <w:sz w:val="14"/>
        </w:rPr>
        <w:t>que han </w:t>
      </w:r>
      <w:r>
        <w:rPr>
          <w:rFonts w:ascii="Verdana" w:hAnsi="Verdana"/>
          <w:spacing w:val="4"/>
          <w:sz w:val="14"/>
        </w:rPr>
        <w:t>demostrado    </w:t>
      </w:r>
      <w:r>
        <w:rPr>
          <w:rFonts w:ascii="Verdana" w:hAnsi="Verdana"/>
          <w:spacing w:val="2"/>
          <w:sz w:val="14"/>
        </w:rPr>
        <w:t>la </w:t>
      </w:r>
      <w:r>
        <w:rPr>
          <w:rFonts w:ascii="Verdana" w:hAnsi="Verdana"/>
          <w:spacing w:val="4"/>
          <w:sz w:val="14"/>
        </w:rPr>
        <w:t>efectividad </w:t>
      </w:r>
      <w:r>
        <w:rPr>
          <w:rFonts w:ascii="Verdana" w:hAnsi="Verdana"/>
          <w:spacing w:val="2"/>
          <w:sz w:val="14"/>
        </w:rPr>
        <w:t>de la </w:t>
      </w:r>
      <w:r>
        <w:rPr>
          <w:rFonts w:ascii="Verdana" w:hAnsi="Verdana"/>
          <w:spacing w:val="4"/>
          <w:sz w:val="14"/>
        </w:rPr>
        <w:t>administración </w:t>
      </w:r>
      <w:r>
        <w:rPr>
          <w:rFonts w:ascii="Verdana" w:hAnsi="Verdana"/>
          <w:spacing w:val="2"/>
          <w:sz w:val="14"/>
        </w:rPr>
        <w:t>de </w:t>
      </w:r>
      <w:r>
        <w:rPr>
          <w:rFonts w:ascii="Verdana" w:hAnsi="Verdana"/>
          <w:spacing w:val="4"/>
          <w:sz w:val="14"/>
        </w:rPr>
        <w:t>pequeñas dosis </w:t>
      </w:r>
      <w:r>
        <w:rPr>
          <w:rFonts w:ascii="Verdana" w:hAnsi="Verdana"/>
          <w:spacing w:val="5"/>
          <w:sz w:val="14"/>
        </w:rPr>
        <w:t>de </w:t>
      </w:r>
      <w:r>
        <w:rPr>
          <w:rFonts w:ascii="Verdana" w:hAnsi="Verdana"/>
          <w:spacing w:val="4"/>
          <w:sz w:val="14"/>
        </w:rPr>
        <w:t>ketamina, </w:t>
      </w:r>
      <w:r>
        <w:rPr>
          <w:rFonts w:ascii="Verdana" w:hAnsi="Verdana"/>
          <w:spacing w:val="3"/>
          <w:sz w:val="14"/>
        </w:rPr>
        <w:t>como </w:t>
      </w:r>
      <w:r>
        <w:rPr>
          <w:rFonts w:ascii="Verdana" w:hAnsi="Verdana"/>
          <w:spacing w:val="4"/>
          <w:sz w:val="14"/>
        </w:rPr>
        <w:t>dosis única endovenosa, </w:t>
      </w:r>
      <w:r>
        <w:rPr>
          <w:rFonts w:ascii="Verdana" w:hAnsi="Verdana"/>
          <w:spacing w:val="3"/>
          <w:sz w:val="14"/>
        </w:rPr>
        <w:t>para </w:t>
      </w:r>
      <w:r>
        <w:rPr>
          <w:rFonts w:ascii="Verdana" w:hAnsi="Verdana"/>
          <w:spacing w:val="2"/>
          <w:sz w:val="14"/>
        </w:rPr>
        <w:t>el </w:t>
      </w:r>
      <w:r>
        <w:rPr>
          <w:rFonts w:ascii="Verdana" w:hAnsi="Verdana"/>
          <w:spacing w:val="5"/>
          <w:sz w:val="14"/>
        </w:rPr>
        <w:t>manejo  </w:t>
      </w:r>
      <w:r>
        <w:rPr>
          <w:rFonts w:ascii="Verdana" w:hAnsi="Verdana"/>
          <w:spacing w:val="3"/>
          <w:sz w:val="14"/>
        </w:rPr>
        <w:t>del </w:t>
      </w:r>
      <w:r>
        <w:rPr>
          <w:rFonts w:ascii="Verdana" w:hAnsi="Verdana"/>
          <w:spacing w:val="4"/>
          <w:sz w:val="14"/>
        </w:rPr>
        <w:t>dolor postoperatorio, obteniendo </w:t>
      </w:r>
      <w:r>
        <w:rPr>
          <w:rFonts w:ascii="Verdana" w:hAnsi="Verdana"/>
          <w:spacing w:val="3"/>
          <w:sz w:val="14"/>
        </w:rPr>
        <w:t>una </w:t>
      </w:r>
      <w:r>
        <w:rPr>
          <w:rFonts w:ascii="Verdana" w:hAnsi="Verdana"/>
          <w:spacing w:val="5"/>
          <w:sz w:val="14"/>
        </w:rPr>
        <w:t>disminución </w:t>
      </w:r>
      <w:r>
        <w:rPr>
          <w:rFonts w:ascii="Verdana" w:hAnsi="Verdana"/>
          <w:spacing w:val="4"/>
          <w:sz w:val="14"/>
        </w:rPr>
        <w:t>importante </w:t>
      </w:r>
      <w:r>
        <w:rPr>
          <w:rFonts w:ascii="Verdana" w:hAnsi="Verdana"/>
          <w:spacing w:val="2"/>
          <w:sz w:val="14"/>
        </w:rPr>
        <w:t>en el </w:t>
      </w:r>
      <w:r>
        <w:rPr>
          <w:rFonts w:ascii="Verdana" w:hAnsi="Verdana"/>
          <w:spacing w:val="4"/>
          <w:sz w:val="14"/>
        </w:rPr>
        <w:t>consumo </w:t>
      </w:r>
      <w:r>
        <w:rPr>
          <w:rFonts w:ascii="Verdana" w:hAnsi="Verdana"/>
          <w:spacing w:val="2"/>
          <w:sz w:val="14"/>
        </w:rPr>
        <w:t>de </w:t>
      </w:r>
      <w:r>
        <w:rPr>
          <w:rFonts w:ascii="Verdana" w:hAnsi="Verdana"/>
          <w:spacing w:val="4"/>
          <w:sz w:val="14"/>
        </w:rPr>
        <w:t>opiáceos, </w:t>
      </w:r>
      <w:r>
        <w:rPr>
          <w:rFonts w:ascii="Verdana" w:hAnsi="Verdana"/>
          <w:spacing w:val="3"/>
          <w:sz w:val="14"/>
        </w:rPr>
        <w:t>con los </w:t>
      </w:r>
      <w:r>
        <w:rPr>
          <w:rFonts w:ascii="Verdana" w:hAnsi="Verdana"/>
          <w:spacing w:val="4"/>
          <w:sz w:val="14"/>
        </w:rPr>
        <w:t>respectivos beneficios </w:t>
      </w:r>
      <w:r>
        <w:rPr>
          <w:rFonts w:ascii="Verdana" w:hAnsi="Verdana"/>
          <w:spacing w:val="3"/>
          <w:sz w:val="14"/>
        </w:rPr>
        <w:t>que esto </w:t>
      </w:r>
      <w:r>
        <w:rPr>
          <w:rFonts w:ascii="Verdana" w:hAnsi="Verdana"/>
          <w:spacing w:val="4"/>
          <w:sz w:val="14"/>
        </w:rPr>
        <w:t>conlleva </w:t>
      </w:r>
      <w:r>
        <w:rPr>
          <w:rFonts w:ascii="Verdana" w:hAnsi="Verdana"/>
          <w:sz w:val="14"/>
        </w:rPr>
        <w:t>y </w:t>
      </w:r>
      <w:r>
        <w:rPr>
          <w:rFonts w:ascii="Verdana" w:hAnsi="Verdana"/>
          <w:spacing w:val="3"/>
          <w:sz w:val="14"/>
        </w:rPr>
        <w:t>sin </w:t>
      </w:r>
      <w:r>
        <w:rPr>
          <w:rFonts w:ascii="Verdana" w:hAnsi="Verdana"/>
          <w:spacing w:val="2"/>
          <w:sz w:val="14"/>
        </w:rPr>
        <w:t>un </w:t>
      </w:r>
      <w:r>
        <w:rPr>
          <w:rFonts w:ascii="Verdana" w:hAnsi="Verdana"/>
          <w:spacing w:val="4"/>
          <w:sz w:val="14"/>
        </w:rPr>
        <w:t>aumento </w:t>
      </w:r>
      <w:r>
        <w:rPr>
          <w:rFonts w:ascii="Verdana" w:hAnsi="Verdana"/>
          <w:spacing w:val="2"/>
          <w:sz w:val="14"/>
        </w:rPr>
        <w:t>de </w:t>
      </w:r>
      <w:r>
        <w:rPr>
          <w:rFonts w:ascii="Verdana" w:hAnsi="Verdana"/>
          <w:spacing w:val="3"/>
          <w:sz w:val="14"/>
        </w:rPr>
        <w:t>los </w:t>
      </w:r>
      <w:r>
        <w:rPr>
          <w:rFonts w:ascii="Verdana" w:hAnsi="Verdana"/>
          <w:spacing w:val="5"/>
          <w:sz w:val="14"/>
        </w:rPr>
        <w:t>efectos </w:t>
      </w:r>
      <w:r>
        <w:rPr>
          <w:rFonts w:ascii="Verdana" w:hAnsi="Verdana"/>
          <w:spacing w:val="4"/>
          <w:sz w:val="14"/>
        </w:rPr>
        <w:t>secundarios. Hasta </w:t>
      </w:r>
      <w:r>
        <w:rPr>
          <w:rFonts w:ascii="Verdana" w:hAnsi="Verdana"/>
          <w:spacing w:val="2"/>
          <w:sz w:val="14"/>
        </w:rPr>
        <w:t>la </w:t>
      </w:r>
      <w:r>
        <w:rPr>
          <w:rFonts w:ascii="Verdana" w:hAnsi="Verdana"/>
          <w:spacing w:val="3"/>
          <w:sz w:val="14"/>
        </w:rPr>
        <w:t>hora, pese </w:t>
      </w:r>
      <w:r>
        <w:rPr>
          <w:rFonts w:ascii="Verdana" w:hAnsi="Verdana"/>
          <w:sz w:val="14"/>
        </w:rPr>
        <w:t>a </w:t>
      </w:r>
      <w:r>
        <w:rPr>
          <w:rFonts w:ascii="Verdana" w:hAnsi="Verdana"/>
          <w:spacing w:val="3"/>
          <w:sz w:val="14"/>
        </w:rPr>
        <w:t>los </w:t>
      </w:r>
      <w:r>
        <w:rPr>
          <w:rFonts w:ascii="Verdana" w:hAnsi="Verdana"/>
          <w:spacing w:val="4"/>
          <w:sz w:val="14"/>
        </w:rPr>
        <w:t>hallazgos positivos, </w:t>
      </w:r>
      <w:r>
        <w:rPr>
          <w:rFonts w:ascii="Verdana" w:hAnsi="Verdana"/>
          <w:spacing w:val="5"/>
          <w:sz w:val="14"/>
        </w:rPr>
        <w:t>la </w:t>
      </w:r>
      <w:r>
        <w:rPr>
          <w:rFonts w:ascii="Verdana" w:hAnsi="Verdana"/>
          <w:spacing w:val="4"/>
          <w:sz w:val="14"/>
        </w:rPr>
        <w:t>evidencia </w:t>
      </w:r>
      <w:r>
        <w:rPr>
          <w:rFonts w:ascii="Verdana" w:hAnsi="Verdana"/>
          <w:spacing w:val="2"/>
          <w:sz w:val="14"/>
        </w:rPr>
        <w:t>es un </w:t>
      </w:r>
      <w:r>
        <w:rPr>
          <w:rFonts w:ascii="Verdana" w:hAnsi="Verdana"/>
          <w:spacing w:val="4"/>
          <w:sz w:val="14"/>
        </w:rPr>
        <w:t>tanto controversial, </w:t>
      </w:r>
      <w:r>
        <w:rPr>
          <w:rFonts w:ascii="Verdana" w:hAnsi="Verdana"/>
          <w:spacing w:val="3"/>
          <w:sz w:val="14"/>
        </w:rPr>
        <w:t>por </w:t>
      </w:r>
      <w:r>
        <w:rPr>
          <w:rFonts w:ascii="Verdana" w:hAnsi="Verdana"/>
          <w:spacing w:val="2"/>
          <w:sz w:val="14"/>
        </w:rPr>
        <w:t>lo </w:t>
      </w:r>
      <w:r>
        <w:rPr>
          <w:rFonts w:ascii="Verdana" w:hAnsi="Verdana"/>
          <w:spacing w:val="3"/>
          <w:sz w:val="14"/>
        </w:rPr>
        <w:t>que </w:t>
      </w:r>
      <w:r>
        <w:rPr>
          <w:rFonts w:ascii="Verdana" w:hAnsi="Verdana"/>
          <w:spacing w:val="2"/>
          <w:sz w:val="14"/>
        </w:rPr>
        <w:t>es </w:t>
      </w:r>
      <w:r>
        <w:rPr>
          <w:rFonts w:ascii="Verdana" w:hAnsi="Verdana"/>
          <w:spacing w:val="5"/>
          <w:sz w:val="14"/>
        </w:rPr>
        <w:t>necesario </w:t>
      </w:r>
      <w:r>
        <w:rPr>
          <w:rFonts w:ascii="Verdana" w:hAnsi="Verdana"/>
          <w:spacing w:val="2"/>
          <w:sz w:val="14"/>
        </w:rPr>
        <w:t>un </w:t>
      </w:r>
      <w:r>
        <w:rPr>
          <w:rFonts w:ascii="Verdana" w:hAnsi="Verdana"/>
          <w:spacing w:val="3"/>
          <w:sz w:val="14"/>
        </w:rPr>
        <w:t>mayor </w:t>
      </w:r>
      <w:r>
        <w:rPr>
          <w:rFonts w:ascii="Verdana" w:hAnsi="Verdana"/>
          <w:spacing w:val="4"/>
          <w:sz w:val="14"/>
        </w:rPr>
        <w:t>número </w:t>
      </w:r>
      <w:r>
        <w:rPr>
          <w:rFonts w:ascii="Verdana" w:hAnsi="Verdana"/>
          <w:spacing w:val="2"/>
          <w:sz w:val="14"/>
        </w:rPr>
        <w:t>de </w:t>
      </w:r>
      <w:r>
        <w:rPr>
          <w:rFonts w:ascii="Verdana" w:hAnsi="Verdana"/>
          <w:spacing w:val="4"/>
          <w:sz w:val="14"/>
        </w:rPr>
        <w:t>estudios </w:t>
      </w:r>
      <w:r>
        <w:rPr>
          <w:rFonts w:ascii="Verdana" w:hAnsi="Verdana"/>
          <w:spacing w:val="3"/>
          <w:sz w:val="14"/>
        </w:rPr>
        <w:t>para evaluar </w:t>
      </w:r>
      <w:r>
        <w:rPr>
          <w:rFonts w:ascii="Verdana" w:hAnsi="Verdana"/>
          <w:spacing w:val="4"/>
          <w:sz w:val="14"/>
        </w:rPr>
        <w:t>efectivamente  </w:t>
      </w:r>
      <w:r>
        <w:rPr>
          <w:rFonts w:ascii="Verdana" w:hAnsi="Verdana"/>
          <w:spacing w:val="2"/>
          <w:sz w:val="14"/>
        </w:rPr>
        <w:t>su</w:t>
      </w:r>
      <w:r>
        <w:rPr>
          <w:rFonts w:ascii="Verdana" w:hAnsi="Verdana"/>
          <w:spacing w:val="12"/>
          <w:sz w:val="14"/>
        </w:rPr>
        <w:t> </w:t>
      </w:r>
      <w:r>
        <w:rPr>
          <w:rFonts w:ascii="Verdana" w:hAnsi="Verdana"/>
          <w:spacing w:val="3"/>
          <w:sz w:val="14"/>
        </w:rPr>
        <w:t>rol</w:t>
      </w:r>
      <w:r>
        <w:rPr>
          <w:rFonts w:ascii="Verdana" w:hAnsi="Verdana"/>
          <w:spacing w:val="12"/>
          <w:sz w:val="14"/>
        </w:rPr>
        <w:t> </w:t>
      </w:r>
      <w:r>
        <w:rPr>
          <w:rFonts w:ascii="Verdana" w:hAnsi="Verdana"/>
          <w:spacing w:val="2"/>
          <w:sz w:val="14"/>
        </w:rPr>
        <w:t>en</w:t>
      </w:r>
      <w:r>
        <w:rPr>
          <w:rFonts w:ascii="Verdana" w:hAnsi="Verdana"/>
          <w:spacing w:val="12"/>
          <w:sz w:val="14"/>
        </w:rPr>
        <w:t> </w:t>
      </w:r>
      <w:r>
        <w:rPr>
          <w:rFonts w:ascii="Verdana" w:hAnsi="Verdana"/>
          <w:spacing w:val="2"/>
          <w:sz w:val="14"/>
        </w:rPr>
        <w:t>la</w:t>
      </w:r>
      <w:r>
        <w:rPr>
          <w:rFonts w:ascii="Verdana" w:hAnsi="Verdana"/>
          <w:spacing w:val="13"/>
          <w:sz w:val="14"/>
        </w:rPr>
        <w:t> </w:t>
      </w:r>
      <w:r>
        <w:rPr>
          <w:rFonts w:ascii="Verdana" w:hAnsi="Verdana"/>
          <w:spacing w:val="4"/>
          <w:sz w:val="14"/>
        </w:rPr>
        <w:t>terapia</w:t>
      </w:r>
      <w:r>
        <w:rPr>
          <w:rFonts w:ascii="Verdana" w:hAnsi="Verdana"/>
          <w:spacing w:val="12"/>
          <w:sz w:val="14"/>
        </w:rPr>
        <w:t> </w:t>
      </w:r>
      <w:r>
        <w:rPr>
          <w:rFonts w:ascii="Verdana" w:hAnsi="Verdana"/>
          <w:spacing w:val="4"/>
          <w:sz w:val="14"/>
        </w:rPr>
        <w:t>analgésica</w:t>
      </w:r>
      <w:r>
        <w:rPr>
          <w:rFonts w:ascii="Verdana" w:hAnsi="Verdana"/>
          <w:spacing w:val="12"/>
          <w:sz w:val="14"/>
        </w:rPr>
        <w:t> </w:t>
      </w:r>
      <w:r>
        <w:rPr>
          <w:rFonts w:ascii="Verdana" w:hAnsi="Verdana"/>
          <w:spacing w:val="3"/>
          <w:sz w:val="14"/>
        </w:rPr>
        <w:t>del</w:t>
      </w:r>
      <w:r>
        <w:rPr>
          <w:rFonts w:ascii="Verdana" w:hAnsi="Verdana"/>
          <w:spacing w:val="13"/>
          <w:sz w:val="14"/>
        </w:rPr>
        <w:t> </w:t>
      </w:r>
      <w:r>
        <w:rPr>
          <w:rFonts w:ascii="Verdana" w:hAnsi="Verdana"/>
          <w:spacing w:val="4"/>
          <w:sz w:val="14"/>
        </w:rPr>
        <w:t>paciente</w:t>
      </w:r>
      <w:r>
        <w:rPr>
          <w:rFonts w:ascii="Verdana" w:hAnsi="Verdana"/>
          <w:spacing w:val="12"/>
          <w:sz w:val="14"/>
        </w:rPr>
        <w:t> </w:t>
      </w:r>
      <w:r>
        <w:rPr>
          <w:rFonts w:ascii="Verdana" w:hAnsi="Verdana"/>
          <w:spacing w:val="3"/>
          <w:sz w:val="14"/>
        </w:rPr>
        <w:t>post</w:t>
      </w:r>
      <w:r>
        <w:rPr>
          <w:rFonts w:ascii="Verdana" w:hAnsi="Verdana"/>
          <w:spacing w:val="12"/>
          <w:sz w:val="14"/>
        </w:rPr>
        <w:t> </w:t>
      </w:r>
      <w:r>
        <w:rPr>
          <w:rFonts w:ascii="Verdana" w:hAnsi="Verdana"/>
          <w:spacing w:val="4"/>
          <w:sz w:val="14"/>
        </w:rPr>
        <w:t>operado.</w:t>
      </w:r>
    </w:p>
    <w:p>
      <w:pPr>
        <w:pStyle w:val="BodyText"/>
        <w:rPr>
          <w:rFonts w:ascii="Verdana"/>
          <w:sz w:val="16"/>
        </w:rPr>
      </w:pPr>
    </w:p>
    <w:p>
      <w:pPr>
        <w:spacing w:line="211" w:lineRule="auto" w:before="109"/>
        <w:ind w:left="113" w:right="38" w:firstLine="0"/>
        <w:jc w:val="both"/>
        <w:rPr>
          <w:rFonts w:ascii="Verdana" w:hAnsi="Verdana"/>
          <w:sz w:val="14"/>
        </w:rPr>
      </w:pPr>
      <w:r>
        <w:rPr>
          <w:rFonts w:ascii="Verdana" w:hAnsi="Verdana"/>
          <w:b/>
          <w:sz w:val="14"/>
        </w:rPr>
        <w:t>Palabras claves: </w:t>
      </w:r>
      <w:r>
        <w:rPr>
          <w:rFonts w:ascii="Verdana" w:hAnsi="Verdana"/>
          <w:sz w:val="14"/>
        </w:rPr>
        <w:t>Ketamina, dolor postoperatorio, analgesia postoperatoria, estrategia analgésica.</w:t>
      </w:r>
    </w:p>
    <w:p>
      <w:pPr>
        <w:pStyle w:val="Heading2"/>
      </w:pPr>
      <w:r>
        <w:rPr>
          <w:b w:val="0"/>
        </w:rPr>
        <w:br w:type="column"/>
      </w:r>
      <w:r>
        <w:rPr/>
        <w:t>Summary</w:t>
      </w:r>
    </w:p>
    <w:p>
      <w:pPr>
        <w:spacing w:line="211" w:lineRule="auto" w:before="134"/>
        <w:ind w:left="113" w:right="101" w:firstLine="0"/>
        <w:jc w:val="both"/>
        <w:rPr>
          <w:rFonts w:ascii="Verdana"/>
          <w:sz w:val="14"/>
        </w:rPr>
      </w:pPr>
      <w:r>
        <w:rPr>
          <w:rFonts w:ascii="Verdana"/>
          <w:spacing w:val="7"/>
          <w:sz w:val="14"/>
        </w:rPr>
        <w:t>Inappropriate treatment </w:t>
      </w:r>
      <w:r>
        <w:rPr>
          <w:rFonts w:ascii="Verdana"/>
          <w:spacing w:val="4"/>
          <w:sz w:val="14"/>
        </w:rPr>
        <w:t>of </w:t>
      </w:r>
      <w:r>
        <w:rPr>
          <w:rFonts w:ascii="Verdana"/>
          <w:spacing w:val="7"/>
          <w:sz w:val="14"/>
        </w:rPr>
        <w:t>postoperative </w:t>
      </w:r>
      <w:r>
        <w:rPr>
          <w:rFonts w:ascii="Verdana"/>
          <w:spacing w:val="6"/>
          <w:sz w:val="14"/>
        </w:rPr>
        <w:t>acute pain </w:t>
      </w:r>
      <w:r>
        <w:rPr>
          <w:rFonts w:ascii="Verdana"/>
          <w:spacing w:val="8"/>
          <w:sz w:val="14"/>
        </w:rPr>
        <w:t>is </w:t>
      </w:r>
      <w:r>
        <w:rPr>
          <w:rFonts w:ascii="Verdana"/>
          <w:spacing w:val="7"/>
          <w:sz w:val="14"/>
        </w:rPr>
        <w:t>associated </w:t>
      </w:r>
      <w:r>
        <w:rPr>
          <w:rFonts w:ascii="Verdana"/>
          <w:spacing w:val="6"/>
          <w:sz w:val="14"/>
        </w:rPr>
        <w:t>with </w:t>
      </w:r>
      <w:r>
        <w:rPr>
          <w:rFonts w:ascii="Verdana"/>
          <w:spacing w:val="4"/>
          <w:sz w:val="14"/>
        </w:rPr>
        <w:t>an </w:t>
      </w:r>
      <w:r>
        <w:rPr>
          <w:rFonts w:ascii="Verdana"/>
          <w:spacing w:val="7"/>
          <w:sz w:val="14"/>
        </w:rPr>
        <w:t>increase </w:t>
      </w:r>
      <w:r>
        <w:rPr>
          <w:rFonts w:ascii="Verdana"/>
          <w:spacing w:val="4"/>
          <w:sz w:val="14"/>
        </w:rPr>
        <w:t>in  </w:t>
      </w:r>
      <w:r>
        <w:rPr>
          <w:rFonts w:ascii="Verdana"/>
          <w:spacing w:val="7"/>
          <w:sz w:val="14"/>
        </w:rPr>
        <w:t>perioperative </w:t>
      </w:r>
      <w:r>
        <w:rPr>
          <w:rFonts w:ascii="Verdana"/>
          <w:spacing w:val="5"/>
          <w:sz w:val="14"/>
        </w:rPr>
        <w:t>morbidity,  for </w:t>
      </w:r>
      <w:r>
        <w:rPr>
          <w:rFonts w:ascii="Verdana"/>
          <w:spacing w:val="6"/>
          <w:sz w:val="14"/>
        </w:rPr>
        <w:t>which </w:t>
      </w:r>
      <w:r>
        <w:rPr>
          <w:rFonts w:ascii="Verdana"/>
          <w:spacing w:val="4"/>
          <w:sz w:val="14"/>
        </w:rPr>
        <w:t>it is  </w:t>
      </w:r>
      <w:r>
        <w:rPr>
          <w:rFonts w:ascii="Verdana"/>
          <w:spacing w:val="7"/>
          <w:sz w:val="14"/>
        </w:rPr>
        <w:t>necessary  </w:t>
      </w:r>
      <w:r>
        <w:rPr>
          <w:rFonts w:ascii="Verdana"/>
          <w:spacing w:val="4"/>
          <w:sz w:val="14"/>
        </w:rPr>
        <w:t>to  </w:t>
      </w:r>
      <w:r>
        <w:rPr>
          <w:rFonts w:ascii="Verdana"/>
          <w:spacing w:val="6"/>
          <w:sz w:val="14"/>
        </w:rPr>
        <w:t>achieve  special  </w:t>
      </w:r>
      <w:r>
        <w:rPr>
          <w:rFonts w:ascii="Verdana"/>
          <w:spacing w:val="8"/>
          <w:sz w:val="14"/>
        </w:rPr>
        <w:t>emphasis </w:t>
      </w:r>
      <w:r>
        <w:rPr>
          <w:rFonts w:ascii="Verdana"/>
          <w:spacing w:val="4"/>
          <w:sz w:val="14"/>
        </w:rPr>
        <w:t>on </w:t>
      </w:r>
      <w:r>
        <w:rPr>
          <w:rFonts w:ascii="Verdana"/>
          <w:spacing w:val="5"/>
          <w:sz w:val="14"/>
        </w:rPr>
        <w:t>the </w:t>
      </w:r>
      <w:r>
        <w:rPr>
          <w:rFonts w:ascii="Verdana"/>
          <w:spacing w:val="6"/>
          <w:sz w:val="14"/>
        </w:rPr>
        <w:t>optimal </w:t>
      </w:r>
      <w:r>
        <w:rPr>
          <w:rFonts w:ascii="Verdana"/>
          <w:spacing w:val="7"/>
          <w:sz w:val="14"/>
        </w:rPr>
        <w:t>management </w:t>
      </w:r>
      <w:r>
        <w:rPr>
          <w:rFonts w:ascii="Verdana"/>
          <w:spacing w:val="4"/>
          <w:sz w:val="14"/>
        </w:rPr>
        <w:t>of </w:t>
      </w:r>
      <w:r>
        <w:rPr>
          <w:rFonts w:ascii="Verdana"/>
          <w:spacing w:val="7"/>
          <w:sz w:val="14"/>
        </w:rPr>
        <w:t>postoperative </w:t>
      </w:r>
      <w:r>
        <w:rPr>
          <w:rFonts w:ascii="Verdana"/>
          <w:spacing w:val="8"/>
          <w:sz w:val="14"/>
        </w:rPr>
        <w:t>analgesia. </w:t>
      </w:r>
      <w:r>
        <w:rPr>
          <w:rFonts w:ascii="Verdana"/>
          <w:spacing w:val="6"/>
          <w:sz w:val="14"/>
        </w:rPr>
        <w:t>Ketamine </w:t>
      </w:r>
      <w:r>
        <w:rPr>
          <w:rFonts w:ascii="Verdana"/>
          <w:spacing w:val="5"/>
          <w:sz w:val="14"/>
        </w:rPr>
        <w:t>can play </w:t>
      </w:r>
      <w:r>
        <w:rPr>
          <w:rFonts w:ascii="Verdana"/>
          <w:sz w:val="14"/>
        </w:rPr>
        <w:t>a </w:t>
      </w:r>
      <w:r>
        <w:rPr>
          <w:rFonts w:ascii="Verdana"/>
          <w:spacing w:val="6"/>
          <w:sz w:val="14"/>
        </w:rPr>
        <w:t>role </w:t>
      </w:r>
      <w:r>
        <w:rPr>
          <w:rFonts w:ascii="Verdana"/>
          <w:spacing w:val="4"/>
          <w:sz w:val="14"/>
        </w:rPr>
        <w:t>of </w:t>
      </w:r>
      <w:r>
        <w:rPr>
          <w:rFonts w:ascii="Verdana"/>
          <w:spacing w:val="7"/>
          <w:sz w:val="14"/>
        </w:rPr>
        <w:t>particular interest. </w:t>
      </w:r>
      <w:r>
        <w:rPr>
          <w:rFonts w:ascii="Verdana"/>
          <w:spacing w:val="5"/>
          <w:sz w:val="14"/>
        </w:rPr>
        <w:t>The </w:t>
      </w:r>
      <w:r>
        <w:rPr>
          <w:rFonts w:ascii="Verdana"/>
          <w:spacing w:val="8"/>
          <w:sz w:val="14"/>
        </w:rPr>
        <w:t>main </w:t>
      </w:r>
      <w:r>
        <w:rPr>
          <w:rFonts w:ascii="Verdana"/>
          <w:spacing w:val="6"/>
          <w:sz w:val="14"/>
        </w:rPr>
        <w:t>site </w:t>
      </w:r>
      <w:r>
        <w:rPr>
          <w:rFonts w:ascii="Verdana"/>
          <w:spacing w:val="4"/>
          <w:sz w:val="14"/>
        </w:rPr>
        <w:t>of </w:t>
      </w:r>
      <w:r>
        <w:rPr>
          <w:rFonts w:ascii="Verdana"/>
          <w:spacing w:val="6"/>
          <w:sz w:val="14"/>
        </w:rPr>
        <w:t>action </w:t>
      </w:r>
      <w:r>
        <w:rPr>
          <w:rFonts w:ascii="Verdana"/>
          <w:spacing w:val="4"/>
          <w:sz w:val="14"/>
        </w:rPr>
        <w:t>of </w:t>
      </w:r>
      <w:r>
        <w:rPr>
          <w:rFonts w:ascii="Verdana"/>
          <w:spacing w:val="6"/>
          <w:sz w:val="14"/>
        </w:rPr>
        <w:t>ketamine </w:t>
      </w:r>
      <w:r>
        <w:rPr>
          <w:rFonts w:ascii="Verdana"/>
          <w:spacing w:val="4"/>
          <w:sz w:val="14"/>
        </w:rPr>
        <w:t>is in </w:t>
      </w:r>
      <w:r>
        <w:rPr>
          <w:rFonts w:ascii="Verdana"/>
          <w:spacing w:val="5"/>
          <w:sz w:val="14"/>
        </w:rPr>
        <w:t>the </w:t>
      </w:r>
      <w:r>
        <w:rPr>
          <w:rFonts w:ascii="Verdana"/>
          <w:spacing w:val="7"/>
          <w:sz w:val="14"/>
        </w:rPr>
        <w:t>thalamus </w:t>
      </w:r>
      <w:r>
        <w:rPr>
          <w:rFonts w:ascii="Verdana"/>
          <w:spacing w:val="5"/>
          <w:sz w:val="14"/>
        </w:rPr>
        <w:t>neo </w:t>
      </w:r>
      <w:r>
        <w:rPr>
          <w:rFonts w:ascii="Verdana"/>
          <w:spacing w:val="7"/>
          <w:sz w:val="14"/>
        </w:rPr>
        <w:t>cortical projections, selectively depressing </w:t>
      </w:r>
      <w:r>
        <w:rPr>
          <w:rFonts w:ascii="Verdana"/>
          <w:spacing w:val="5"/>
          <w:sz w:val="14"/>
        </w:rPr>
        <w:t>the </w:t>
      </w:r>
      <w:r>
        <w:rPr>
          <w:rFonts w:ascii="Verdana"/>
          <w:spacing w:val="6"/>
          <w:sz w:val="14"/>
        </w:rPr>
        <w:t>neural </w:t>
      </w:r>
      <w:r>
        <w:rPr>
          <w:rFonts w:ascii="Verdana"/>
          <w:spacing w:val="8"/>
          <w:sz w:val="14"/>
        </w:rPr>
        <w:t>function. </w:t>
      </w:r>
      <w:r>
        <w:rPr>
          <w:rFonts w:ascii="Verdana"/>
          <w:spacing w:val="6"/>
          <w:sz w:val="14"/>
        </w:rPr>
        <w:t>Several studies </w:t>
      </w:r>
      <w:r>
        <w:rPr>
          <w:rFonts w:ascii="Verdana"/>
          <w:spacing w:val="5"/>
          <w:sz w:val="14"/>
        </w:rPr>
        <w:t>have </w:t>
      </w:r>
      <w:r>
        <w:rPr>
          <w:rFonts w:ascii="Verdana"/>
          <w:spacing w:val="6"/>
          <w:sz w:val="14"/>
        </w:rPr>
        <w:t>shown </w:t>
      </w:r>
      <w:r>
        <w:rPr>
          <w:rFonts w:ascii="Verdana"/>
          <w:spacing w:val="5"/>
          <w:sz w:val="14"/>
        </w:rPr>
        <w:t>the </w:t>
      </w:r>
      <w:r>
        <w:rPr>
          <w:rFonts w:ascii="Verdana"/>
          <w:spacing w:val="7"/>
          <w:sz w:val="14"/>
        </w:rPr>
        <w:t>effectiveness </w:t>
      </w:r>
      <w:r>
        <w:rPr>
          <w:rFonts w:ascii="Verdana"/>
          <w:spacing w:val="4"/>
          <w:sz w:val="14"/>
        </w:rPr>
        <w:t>of </w:t>
      </w:r>
      <w:r>
        <w:rPr>
          <w:rFonts w:ascii="Verdana"/>
          <w:spacing w:val="8"/>
          <w:sz w:val="14"/>
        </w:rPr>
        <w:t>the </w:t>
      </w:r>
      <w:r>
        <w:rPr>
          <w:rFonts w:ascii="Verdana"/>
          <w:spacing w:val="7"/>
          <w:sz w:val="14"/>
        </w:rPr>
        <w:t>administration </w:t>
      </w:r>
      <w:r>
        <w:rPr>
          <w:rFonts w:ascii="Verdana"/>
          <w:spacing w:val="4"/>
          <w:sz w:val="14"/>
        </w:rPr>
        <w:t>of </w:t>
      </w:r>
      <w:r>
        <w:rPr>
          <w:rFonts w:ascii="Verdana"/>
          <w:spacing w:val="6"/>
          <w:sz w:val="14"/>
        </w:rPr>
        <w:t>small doses </w:t>
      </w:r>
      <w:r>
        <w:rPr>
          <w:rFonts w:ascii="Verdana"/>
          <w:spacing w:val="4"/>
          <w:sz w:val="14"/>
        </w:rPr>
        <w:t>of </w:t>
      </w:r>
      <w:r>
        <w:rPr>
          <w:rFonts w:ascii="Verdana"/>
          <w:spacing w:val="7"/>
          <w:sz w:val="14"/>
        </w:rPr>
        <w:t>ketamine, </w:t>
      </w:r>
      <w:r>
        <w:rPr>
          <w:rFonts w:ascii="Verdana"/>
          <w:spacing w:val="4"/>
          <w:sz w:val="14"/>
        </w:rPr>
        <w:t>as </w:t>
      </w:r>
      <w:r>
        <w:rPr>
          <w:rFonts w:ascii="Verdana"/>
          <w:sz w:val="14"/>
        </w:rPr>
        <w:t>a </w:t>
      </w:r>
      <w:r>
        <w:rPr>
          <w:rFonts w:ascii="Verdana"/>
          <w:spacing w:val="8"/>
          <w:sz w:val="14"/>
        </w:rPr>
        <w:t>single </w:t>
      </w:r>
      <w:r>
        <w:rPr>
          <w:rFonts w:ascii="Verdana"/>
          <w:spacing w:val="6"/>
          <w:sz w:val="14"/>
        </w:rPr>
        <w:t>intravenous dose, </w:t>
      </w:r>
      <w:r>
        <w:rPr>
          <w:rFonts w:ascii="Verdana"/>
          <w:spacing w:val="5"/>
          <w:sz w:val="14"/>
        </w:rPr>
        <w:t>for the </w:t>
      </w:r>
      <w:r>
        <w:rPr>
          <w:rFonts w:ascii="Verdana"/>
          <w:spacing w:val="7"/>
          <w:sz w:val="14"/>
        </w:rPr>
        <w:t>management </w:t>
      </w:r>
      <w:r>
        <w:rPr>
          <w:rFonts w:ascii="Verdana"/>
          <w:spacing w:val="4"/>
          <w:sz w:val="14"/>
        </w:rPr>
        <w:t>of </w:t>
      </w:r>
      <w:r>
        <w:rPr>
          <w:rFonts w:ascii="Verdana"/>
          <w:spacing w:val="7"/>
          <w:sz w:val="14"/>
        </w:rPr>
        <w:t>postoperative </w:t>
      </w:r>
      <w:r>
        <w:rPr>
          <w:rFonts w:ascii="Verdana"/>
          <w:spacing w:val="6"/>
          <w:sz w:val="14"/>
        </w:rPr>
        <w:t>pain, </w:t>
      </w:r>
      <w:r>
        <w:rPr>
          <w:rFonts w:ascii="Verdana"/>
          <w:spacing w:val="7"/>
          <w:sz w:val="14"/>
        </w:rPr>
        <w:t>obtaining </w:t>
      </w:r>
      <w:r>
        <w:rPr>
          <w:rFonts w:ascii="Verdana"/>
          <w:sz w:val="14"/>
        </w:rPr>
        <w:t>a </w:t>
      </w:r>
      <w:r>
        <w:rPr>
          <w:rFonts w:ascii="Verdana"/>
          <w:spacing w:val="7"/>
          <w:sz w:val="14"/>
        </w:rPr>
        <w:t>reduction </w:t>
      </w:r>
      <w:r>
        <w:rPr>
          <w:rFonts w:ascii="Verdana"/>
          <w:spacing w:val="4"/>
          <w:sz w:val="14"/>
        </w:rPr>
        <w:t>in </w:t>
      </w:r>
      <w:r>
        <w:rPr>
          <w:rFonts w:ascii="Verdana"/>
          <w:spacing w:val="5"/>
          <w:sz w:val="14"/>
        </w:rPr>
        <w:t>the </w:t>
      </w:r>
      <w:r>
        <w:rPr>
          <w:rFonts w:ascii="Verdana"/>
          <w:spacing w:val="7"/>
          <w:sz w:val="14"/>
        </w:rPr>
        <w:t>consumption </w:t>
      </w:r>
      <w:r>
        <w:rPr>
          <w:rFonts w:ascii="Verdana"/>
          <w:spacing w:val="4"/>
          <w:sz w:val="14"/>
        </w:rPr>
        <w:t>of </w:t>
      </w:r>
      <w:r>
        <w:rPr>
          <w:rFonts w:ascii="Verdana"/>
          <w:spacing w:val="8"/>
          <w:sz w:val="14"/>
        </w:rPr>
        <w:t>opiates, </w:t>
      </w:r>
      <w:r>
        <w:rPr>
          <w:rFonts w:ascii="Verdana"/>
          <w:spacing w:val="6"/>
          <w:sz w:val="14"/>
        </w:rPr>
        <w:t>with </w:t>
      </w:r>
      <w:r>
        <w:rPr>
          <w:rFonts w:ascii="Verdana"/>
          <w:spacing w:val="5"/>
          <w:sz w:val="14"/>
        </w:rPr>
        <w:t>the </w:t>
      </w:r>
      <w:r>
        <w:rPr>
          <w:rFonts w:ascii="Verdana"/>
          <w:spacing w:val="7"/>
          <w:sz w:val="14"/>
        </w:rPr>
        <w:t>respective benefits </w:t>
      </w:r>
      <w:r>
        <w:rPr>
          <w:rFonts w:ascii="Verdana"/>
          <w:spacing w:val="5"/>
          <w:sz w:val="14"/>
        </w:rPr>
        <w:t>and </w:t>
      </w:r>
      <w:r>
        <w:rPr>
          <w:rFonts w:ascii="Verdana"/>
          <w:spacing w:val="6"/>
          <w:sz w:val="14"/>
        </w:rPr>
        <w:t>without </w:t>
      </w:r>
      <w:r>
        <w:rPr>
          <w:rFonts w:ascii="Verdana"/>
          <w:spacing w:val="4"/>
          <w:sz w:val="14"/>
        </w:rPr>
        <w:t>an </w:t>
      </w:r>
      <w:r>
        <w:rPr>
          <w:rFonts w:ascii="Verdana"/>
          <w:spacing w:val="7"/>
          <w:sz w:val="14"/>
        </w:rPr>
        <w:t>increase </w:t>
      </w:r>
      <w:r>
        <w:rPr>
          <w:rFonts w:ascii="Verdana"/>
          <w:spacing w:val="8"/>
          <w:sz w:val="14"/>
        </w:rPr>
        <w:t>in </w:t>
      </w:r>
      <w:r>
        <w:rPr>
          <w:rFonts w:ascii="Verdana"/>
          <w:spacing w:val="6"/>
          <w:sz w:val="14"/>
        </w:rPr>
        <w:t>side </w:t>
      </w:r>
      <w:r>
        <w:rPr>
          <w:rFonts w:ascii="Verdana"/>
          <w:spacing w:val="7"/>
          <w:sz w:val="14"/>
        </w:rPr>
        <w:t>effects. </w:t>
      </w:r>
      <w:r>
        <w:rPr>
          <w:rFonts w:ascii="Verdana"/>
          <w:spacing w:val="6"/>
          <w:sz w:val="14"/>
        </w:rPr>
        <w:t>Until </w:t>
      </w:r>
      <w:r>
        <w:rPr>
          <w:rFonts w:ascii="Verdana"/>
          <w:spacing w:val="4"/>
          <w:sz w:val="14"/>
        </w:rPr>
        <w:t>now, </w:t>
      </w:r>
      <w:r>
        <w:rPr>
          <w:rFonts w:ascii="Verdana"/>
          <w:spacing w:val="6"/>
          <w:sz w:val="14"/>
        </w:rPr>
        <w:t>despite  </w:t>
      </w:r>
      <w:r>
        <w:rPr>
          <w:rFonts w:ascii="Verdana"/>
          <w:spacing w:val="5"/>
          <w:sz w:val="14"/>
        </w:rPr>
        <w:t>the  </w:t>
      </w:r>
      <w:r>
        <w:rPr>
          <w:rFonts w:ascii="Verdana"/>
          <w:spacing w:val="6"/>
          <w:sz w:val="14"/>
        </w:rPr>
        <w:t>positive  </w:t>
      </w:r>
      <w:r>
        <w:rPr>
          <w:rFonts w:ascii="Verdana"/>
          <w:spacing w:val="8"/>
          <w:sz w:val="14"/>
        </w:rPr>
        <w:t>findings,  </w:t>
      </w:r>
      <w:r>
        <w:rPr>
          <w:rFonts w:ascii="Verdana"/>
          <w:spacing w:val="5"/>
          <w:sz w:val="14"/>
        </w:rPr>
        <w:t>the </w:t>
      </w:r>
      <w:r>
        <w:rPr>
          <w:rFonts w:ascii="Verdana"/>
          <w:spacing w:val="7"/>
          <w:sz w:val="14"/>
        </w:rPr>
        <w:t>evidence </w:t>
      </w:r>
      <w:r>
        <w:rPr>
          <w:rFonts w:ascii="Verdana"/>
          <w:spacing w:val="4"/>
          <w:sz w:val="14"/>
        </w:rPr>
        <w:t>is  </w:t>
      </w:r>
      <w:r>
        <w:rPr>
          <w:rFonts w:ascii="Verdana"/>
          <w:spacing w:val="7"/>
          <w:sz w:val="14"/>
        </w:rPr>
        <w:t>somewhat controversial, </w:t>
      </w:r>
      <w:r>
        <w:rPr>
          <w:rFonts w:ascii="Verdana"/>
          <w:spacing w:val="6"/>
          <w:sz w:val="14"/>
        </w:rPr>
        <w:t>with </w:t>
      </w:r>
      <w:r>
        <w:rPr>
          <w:rFonts w:ascii="Verdana"/>
          <w:spacing w:val="5"/>
          <w:sz w:val="14"/>
        </w:rPr>
        <w:t>the </w:t>
      </w:r>
      <w:r>
        <w:rPr>
          <w:rFonts w:ascii="Verdana"/>
          <w:spacing w:val="8"/>
          <w:sz w:val="14"/>
        </w:rPr>
        <w:t>need   </w:t>
      </w:r>
      <w:r>
        <w:rPr>
          <w:rFonts w:ascii="Verdana"/>
          <w:spacing w:val="4"/>
          <w:sz w:val="14"/>
        </w:rPr>
        <w:t>of </w:t>
      </w:r>
      <w:r>
        <w:rPr>
          <w:rFonts w:ascii="Verdana"/>
          <w:spacing w:val="6"/>
          <w:sz w:val="14"/>
        </w:rPr>
        <w:t>further studies </w:t>
      </w:r>
      <w:r>
        <w:rPr>
          <w:rFonts w:ascii="Verdana"/>
          <w:spacing w:val="4"/>
          <w:sz w:val="14"/>
        </w:rPr>
        <w:t>to </w:t>
      </w:r>
      <w:r>
        <w:rPr>
          <w:rFonts w:ascii="Verdana"/>
          <w:spacing w:val="7"/>
          <w:sz w:val="14"/>
        </w:rPr>
        <w:t>effectively </w:t>
      </w:r>
      <w:r>
        <w:rPr>
          <w:rFonts w:ascii="Verdana"/>
          <w:spacing w:val="6"/>
          <w:sz w:val="14"/>
        </w:rPr>
        <w:t>assess </w:t>
      </w:r>
      <w:r>
        <w:rPr>
          <w:rFonts w:ascii="Verdana"/>
          <w:spacing w:val="5"/>
          <w:sz w:val="14"/>
        </w:rPr>
        <w:t>its </w:t>
      </w:r>
      <w:r>
        <w:rPr>
          <w:rFonts w:ascii="Verdana"/>
          <w:spacing w:val="6"/>
          <w:sz w:val="14"/>
        </w:rPr>
        <w:t>role </w:t>
      </w:r>
      <w:r>
        <w:rPr>
          <w:rFonts w:ascii="Verdana"/>
          <w:spacing w:val="4"/>
          <w:sz w:val="14"/>
        </w:rPr>
        <w:t>in </w:t>
      </w:r>
      <w:r>
        <w:rPr>
          <w:rFonts w:ascii="Verdana"/>
          <w:spacing w:val="8"/>
          <w:sz w:val="14"/>
        </w:rPr>
        <w:t>the </w:t>
      </w:r>
      <w:r>
        <w:rPr>
          <w:rFonts w:ascii="Verdana"/>
          <w:spacing w:val="7"/>
          <w:sz w:val="14"/>
        </w:rPr>
        <w:t>postoperative analgesic</w:t>
      </w:r>
      <w:r>
        <w:rPr>
          <w:rFonts w:ascii="Verdana"/>
          <w:spacing w:val="25"/>
          <w:sz w:val="14"/>
        </w:rPr>
        <w:t> </w:t>
      </w:r>
      <w:r>
        <w:rPr>
          <w:rFonts w:ascii="Verdana"/>
          <w:spacing w:val="5"/>
          <w:sz w:val="14"/>
        </w:rPr>
        <w:t>therapy.</w:t>
      </w:r>
    </w:p>
    <w:p>
      <w:pPr>
        <w:pStyle w:val="BodyText"/>
        <w:spacing w:before="7"/>
        <w:rPr>
          <w:rFonts w:ascii="Verdana"/>
          <w:sz w:val="12"/>
        </w:rPr>
      </w:pPr>
    </w:p>
    <w:p>
      <w:pPr>
        <w:spacing w:line="211" w:lineRule="auto" w:before="0"/>
        <w:ind w:left="113" w:right="111" w:firstLine="0"/>
        <w:jc w:val="both"/>
        <w:rPr>
          <w:rFonts w:ascii="Verdana"/>
          <w:sz w:val="14"/>
        </w:rPr>
      </w:pPr>
      <w:r>
        <w:rPr>
          <w:rFonts w:ascii="Verdana"/>
          <w:b/>
          <w:sz w:val="14"/>
        </w:rPr>
        <w:t>Keywords: </w:t>
      </w:r>
      <w:r>
        <w:rPr>
          <w:rFonts w:ascii="Verdana"/>
          <w:sz w:val="14"/>
        </w:rPr>
        <w:t>Ketamine, postoperative pain, postoperative analgesia, analgesic strategy.</w:t>
      </w:r>
    </w:p>
    <w:p>
      <w:pPr>
        <w:spacing w:after="0" w:line="211" w:lineRule="auto"/>
        <w:jc w:val="both"/>
        <w:rPr>
          <w:rFonts w:ascii="Verdana"/>
          <w:sz w:val="14"/>
        </w:rPr>
        <w:sectPr>
          <w:type w:val="continuous"/>
          <w:pgSz w:w="11910" w:h="15310"/>
          <w:pgMar w:top="0" w:bottom="280" w:left="1020" w:right="1020"/>
          <w:cols w:num="2" w:equalWidth="0">
            <w:col w:w="4674" w:space="451"/>
            <w:col w:w="4745"/>
          </w:cols>
        </w:sectPr>
      </w:pPr>
    </w:p>
    <w:p>
      <w:pPr>
        <w:pStyle w:val="BodyText"/>
        <w:rPr>
          <w:rFonts w:ascii="Verdana"/>
          <w:sz w:val="26"/>
        </w:rPr>
      </w:pPr>
    </w:p>
    <w:p>
      <w:pPr>
        <w:pStyle w:val="BodyText"/>
        <w:spacing w:line="20" w:lineRule="exact"/>
        <w:ind w:left="108"/>
        <w:rPr>
          <w:rFonts w:ascii="Verdana"/>
          <w:sz w:val="2"/>
        </w:rPr>
      </w:pPr>
      <w:r>
        <w:rPr>
          <w:rFonts w:ascii="Verdana"/>
          <w:sz w:val="2"/>
        </w:rPr>
        <w:pict>
          <v:group style="width:481.4pt;height:.5pt;mso-position-horizontal-relative:char;mso-position-vertical-relative:line" coordorigin="0,0" coordsize="9628,10">
            <v:line style="position:absolute" from="0,5" to="9627,5" stroked="true" strokeweight=".5pt" strokecolor="#000000">
              <v:stroke dashstyle="solid"/>
            </v:line>
          </v:group>
        </w:pict>
      </w:r>
      <w:r>
        <w:rPr>
          <w:rFonts w:ascii="Verdana"/>
          <w:sz w:val="2"/>
        </w:rPr>
      </w:r>
    </w:p>
    <w:p>
      <w:pPr>
        <w:pStyle w:val="BodyText"/>
        <w:spacing w:before="3"/>
        <w:rPr>
          <w:rFonts w:ascii="Verdana"/>
          <w:sz w:val="7"/>
        </w:rPr>
      </w:pPr>
    </w:p>
    <w:p>
      <w:pPr>
        <w:spacing w:after="0"/>
        <w:rPr>
          <w:rFonts w:ascii="Verdana"/>
          <w:sz w:val="7"/>
        </w:rPr>
        <w:sectPr>
          <w:type w:val="continuous"/>
          <w:pgSz w:w="11910" w:h="15310"/>
          <w:pgMar w:top="0" w:bottom="280" w:left="1020" w:right="1020"/>
        </w:sectPr>
      </w:pPr>
    </w:p>
    <w:p>
      <w:pPr>
        <w:pStyle w:val="BodyText"/>
        <w:spacing w:before="2"/>
        <w:rPr>
          <w:rFonts w:ascii="Verdana"/>
          <w:sz w:val="16"/>
        </w:rPr>
      </w:pPr>
    </w:p>
    <w:p>
      <w:pPr>
        <w:pStyle w:val="ListParagraph"/>
        <w:numPr>
          <w:ilvl w:val="0"/>
          <w:numId w:val="1"/>
        </w:numPr>
        <w:tabs>
          <w:tab w:pos="425" w:val="left" w:leader="none"/>
        </w:tabs>
        <w:spacing w:line="177" w:lineRule="exact" w:before="0" w:after="0"/>
        <w:ind w:left="424" w:right="0" w:hanging="312"/>
        <w:jc w:val="left"/>
        <w:rPr>
          <w:i/>
          <w:sz w:val="16"/>
        </w:rPr>
      </w:pPr>
      <w:r>
        <w:rPr>
          <w:i/>
          <w:color w:val="6D6E71"/>
          <w:spacing w:val="7"/>
          <w:sz w:val="16"/>
        </w:rPr>
        <w:t>Profesor </w:t>
      </w:r>
      <w:r>
        <w:rPr>
          <w:i/>
          <w:color w:val="6D6E71"/>
          <w:spacing w:val="6"/>
          <w:sz w:val="16"/>
        </w:rPr>
        <w:t>asociado </w:t>
      </w:r>
      <w:r>
        <w:rPr>
          <w:i/>
          <w:color w:val="6D6E71"/>
          <w:spacing w:val="3"/>
          <w:sz w:val="16"/>
        </w:rPr>
        <w:t>de </w:t>
      </w:r>
      <w:r>
        <w:rPr>
          <w:i/>
          <w:color w:val="6D6E71"/>
          <w:spacing w:val="7"/>
          <w:sz w:val="16"/>
        </w:rPr>
        <w:t>anestesiología,</w:t>
      </w:r>
      <w:r>
        <w:rPr>
          <w:i/>
          <w:color w:val="6D6E71"/>
          <w:spacing w:val="-38"/>
          <w:sz w:val="16"/>
        </w:rPr>
        <w:t> </w:t>
      </w:r>
      <w:r>
        <w:rPr>
          <w:i/>
          <w:color w:val="6D6E71"/>
          <w:spacing w:val="8"/>
          <w:sz w:val="16"/>
        </w:rPr>
        <w:t>Universidad</w:t>
      </w:r>
    </w:p>
    <w:p>
      <w:pPr>
        <w:spacing w:line="160" w:lineRule="exact" w:before="0"/>
        <w:ind w:left="113" w:right="0" w:firstLine="0"/>
        <w:jc w:val="left"/>
        <w:rPr>
          <w:rFonts w:ascii="Verdana" w:hAnsi="Verdana"/>
          <w:i/>
          <w:sz w:val="16"/>
        </w:rPr>
      </w:pPr>
      <w:r>
        <w:rPr>
          <w:rFonts w:ascii="Verdana" w:hAnsi="Verdana"/>
          <w:i/>
          <w:color w:val="6D6E71"/>
          <w:sz w:val="16"/>
        </w:rPr>
        <w:t>de Concepción, CHILE.</w:t>
      </w:r>
    </w:p>
    <w:p>
      <w:pPr>
        <w:pStyle w:val="ListParagraph"/>
        <w:numPr>
          <w:ilvl w:val="0"/>
          <w:numId w:val="1"/>
        </w:numPr>
        <w:tabs>
          <w:tab w:pos="449" w:val="left" w:leader="none"/>
        </w:tabs>
        <w:spacing w:line="160" w:lineRule="exact" w:before="0" w:after="0"/>
        <w:ind w:left="448" w:right="0" w:hanging="336"/>
        <w:jc w:val="left"/>
        <w:rPr>
          <w:i/>
          <w:sz w:val="16"/>
        </w:rPr>
      </w:pPr>
      <w:r>
        <w:rPr>
          <w:i/>
          <w:color w:val="6D6E71"/>
          <w:spacing w:val="6"/>
          <w:sz w:val="16"/>
        </w:rPr>
        <w:t>Medico </w:t>
      </w:r>
      <w:r>
        <w:rPr>
          <w:i/>
          <w:color w:val="6D6E71"/>
          <w:spacing w:val="7"/>
          <w:sz w:val="16"/>
        </w:rPr>
        <w:t>Anestesiólogo, </w:t>
      </w:r>
      <w:r>
        <w:rPr>
          <w:i/>
          <w:color w:val="6D6E71"/>
          <w:spacing w:val="6"/>
          <w:sz w:val="16"/>
        </w:rPr>
        <w:t>Hospital Clínico</w:t>
      </w:r>
      <w:r>
        <w:rPr>
          <w:i/>
          <w:color w:val="6D6E71"/>
          <w:spacing w:val="53"/>
          <w:sz w:val="16"/>
        </w:rPr>
        <w:t> </w:t>
      </w:r>
      <w:r>
        <w:rPr>
          <w:i/>
          <w:color w:val="6D6E71"/>
          <w:spacing w:val="7"/>
          <w:sz w:val="16"/>
        </w:rPr>
        <w:t>Regional</w:t>
      </w:r>
    </w:p>
    <w:p>
      <w:pPr>
        <w:spacing w:line="160" w:lineRule="exact" w:before="0"/>
        <w:ind w:left="113" w:right="0" w:firstLine="0"/>
        <w:jc w:val="left"/>
        <w:rPr>
          <w:rFonts w:ascii="Verdana" w:hAnsi="Verdana"/>
          <w:i/>
          <w:sz w:val="16"/>
        </w:rPr>
      </w:pPr>
      <w:r>
        <w:rPr>
          <w:rFonts w:ascii="Verdana" w:hAnsi="Verdana"/>
          <w:i/>
          <w:color w:val="6D6E71"/>
          <w:sz w:val="16"/>
        </w:rPr>
        <w:t>de Concepción, CHILE</w:t>
      </w:r>
    </w:p>
    <w:p>
      <w:pPr>
        <w:pStyle w:val="ListParagraph"/>
        <w:numPr>
          <w:ilvl w:val="0"/>
          <w:numId w:val="1"/>
        </w:numPr>
        <w:tabs>
          <w:tab w:pos="506" w:val="left" w:leader="none"/>
        </w:tabs>
        <w:spacing w:line="160" w:lineRule="exact" w:before="0" w:after="0"/>
        <w:ind w:left="505" w:right="0" w:hanging="393"/>
        <w:jc w:val="left"/>
        <w:rPr>
          <w:i/>
          <w:sz w:val="16"/>
        </w:rPr>
      </w:pPr>
      <w:r>
        <w:rPr>
          <w:i/>
          <w:color w:val="6D6E71"/>
          <w:spacing w:val="6"/>
          <w:sz w:val="16"/>
        </w:rPr>
        <w:t>Residente </w:t>
      </w:r>
      <w:r>
        <w:rPr>
          <w:i/>
          <w:color w:val="6D6E71"/>
          <w:spacing w:val="3"/>
          <w:sz w:val="16"/>
        </w:rPr>
        <w:t>de </w:t>
      </w:r>
      <w:r>
        <w:rPr>
          <w:i/>
          <w:color w:val="6D6E71"/>
          <w:spacing w:val="7"/>
          <w:sz w:val="16"/>
        </w:rPr>
        <w:t>Anestesiología, Universidad</w:t>
      </w:r>
      <w:r>
        <w:rPr>
          <w:i/>
          <w:color w:val="6D6E71"/>
          <w:spacing w:val="35"/>
          <w:sz w:val="16"/>
        </w:rPr>
        <w:t> </w:t>
      </w:r>
      <w:r>
        <w:rPr>
          <w:i/>
          <w:color w:val="6D6E71"/>
          <w:spacing w:val="8"/>
          <w:sz w:val="16"/>
        </w:rPr>
        <w:t>de</w:t>
      </w:r>
    </w:p>
    <w:p>
      <w:pPr>
        <w:spacing w:line="160" w:lineRule="exact" w:before="0"/>
        <w:ind w:left="113" w:right="0" w:firstLine="0"/>
        <w:jc w:val="left"/>
        <w:rPr>
          <w:rFonts w:ascii="Verdana" w:hAnsi="Verdana"/>
          <w:i/>
          <w:sz w:val="16"/>
        </w:rPr>
      </w:pPr>
      <w:r>
        <w:rPr>
          <w:rFonts w:ascii="Verdana" w:hAnsi="Verdana"/>
          <w:i/>
          <w:color w:val="6D6E71"/>
          <w:spacing w:val="6"/>
          <w:sz w:val="16"/>
        </w:rPr>
        <w:t>Concepción,</w:t>
      </w:r>
      <w:r>
        <w:rPr>
          <w:rFonts w:ascii="Verdana" w:hAnsi="Verdana"/>
          <w:i/>
          <w:color w:val="6D6E71"/>
          <w:spacing w:val="20"/>
          <w:sz w:val="16"/>
        </w:rPr>
        <w:t> </w:t>
      </w:r>
      <w:r>
        <w:rPr>
          <w:rFonts w:ascii="Verdana" w:hAnsi="Verdana"/>
          <w:i/>
          <w:color w:val="6D6E71"/>
          <w:spacing w:val="7"/>
          <w:sz w:val="16"/>
        </w:rPr>
        <w:t>CHILE.</w:t>
      </w:r>
    </w:p>
    <w:p>
      <w:pPr>
        <w:pStyle w:val="ListParagraph"/>
        <w:numPr>
          <w:ilvl w:val="0"/>
          <w:numId w:val="1"/>
        </w:numPr>
        <w:tabs>
          <w:tab w:pos="477" w:val="left" w:leader="none"/>
        </w:tabs>
        <w:spacing w:line="160" w:lineRule="exact" w:before="0" w:after="0"/>
        <w:ind w:left="476" w:right="0" w:hanging="364"/>
        <w:jc w:val="left"/>
        <w:rPr>
          <w:i/>
          <w:sz w:val="16"/>
        </w:rPr>
      </w:pPr>
      <w:r>
        <w:rPr>
          <w:i/>
          <w:color w:val="6D6E71"/>
          <w:spacing w:val="6"/>
          <w:sz w:val="16"/>
        </w:rPr>
        <w:t>Médico  </w:t>
      </w:r>
      <w:r>
        <w:rPr>
          <w:i/>
          <w:color w:val="6D6E71"/>
          <w:spacing w:val="7"/>
          <w:sz w:val="16"/>
        </w:rPr>
        <w:t>Anestesiólogo  </w:t>
      </w:r>
      <w:r>
        <w:rPr>
          <w:i/>
          <w:color w:val="6D6E71"/>
          <w:spacing w:val="6"/>
          <w:sz w:val="16"/>
        </w:rPr>
        <w:t>Hospital</w:t>
      </w:r>
      <w:r>
        <w:rPr>
          <w:i/>
          <w:color w:val="6D6E71"/>
          <w:spacing w:val="7"/>
          <w:sz w:val="16"/>
        </w:rPr>
        <w:t> Traumatológico</w:t>
      </w:r>
    </w:p>
    <w:p>
      <w:pPr>
        <w:spacing w:line="177" w:lineRule="exact" w:before="0"/>
        <w:ind w:left="113" w:right="0" w:firstLine="0"/>
        <w:jc w:val="left"/>
        <w:rPr>
          <w:rFonts w:ascii="Verdana" w:hAnsi="Verdana"/>
          <w:i/>
          <w:sz w:val="16"/>
        </w:rPr>
      </w:pPr>
      <w:r>
        <w:rPr>
          <w:rFonts w:ascii="Verdana" w:hAnsi="Verdana"/>
          <w:i/>
          <w:color w:val="6D6E71"/>
          <w:sz w:val="16"/>
        </w:rPr>
        <w:t>de Concepción, CHILE.</w:t>
      </w:r>
    </w:p>
    <w:p>
      <w:pPr>
        <w:pStyle w:val="Heading1"/>
      </w:pPr>
      <w:r>
        <w:rPr>
          <w:b w:val="0"/>
        </w:rPr>
        <w:br w:type="column"/>
      </w:r>
      <w:r>
        <w:rPr/>
        <w:t>Introducción</w:t>
      </w:r>
    </w:p>
    <w:p>
      <w:pPr>
        <w:pStyle w:val="BodyText"/>
        <w:spacing w:line="225" w:lineRule="auto"/>
        <w:ind w:left="113" w:right="109"/>
        <w:jc w:val="both"/>
      </w:pPr>
      <w:r>
        <w:rPr/>
        <w:t>Una</w:t>
      </w:r>
      <w:r>
        <w:rPr>
          <w:spacing w:val="-15"/>
        </w:rPr>
        <w:t> </w:t>
      </w:r>
      <w:r>
        <w:rPr/>
        <w:t>de</w:t>
      </w:r>
      <w:r>
        <w:rPr>
          <w:spacing w:val="-15"/>
        </w:rPr>
        <w:t> </w:t>
      </w:r>
      <w:r>
        <w:rPr/>
        <w:t>las</w:t>
      </w:r>
      <w:r>
        <w:rPr>
          <w:spacing w:val="-14"/>
        </w:rPr>
        <w:t> </w:t>
      </w:r>
      <w:r>
        <w:rPr/>
        <w:t>preguntas</w:t>
      </w:r>
      <w:r>
        <w:rPr>
          <w:spacing w:val="-15"/>
        </w:rPr>
        <w:t> </w:t>
      </w:r>
      <w:r>
        <w:rPr/>
        <w:t>más</w:t>
      </w:r>
      <w:r>
        <w:rPr>
          <w:spacing w:val="-14"/>
        </w:rPr>
        <w:t> </w:t>
      </w:r>
      <w:r>
        <w:rPr/>
        <w:t>comunes</w:t>
      </w:r>
      <w:r>
        <w:rPr>
          <w:spacing w:val="-14"/>
        </w:rPr>
        <w:t> </w:t>
      </w:r>
      <w:r>
        <w:rPr/>
        <w:t>formuladas</w:t>
      </w:r>
      <w:r>
        <w:rPr>
          <w:spacing w:val="-15"/>
        </w:rPr>
        <w:t> </w:t>
      </w:r>
      <w:r>
        <w:rPr/>
        <w:t>por</w:t>
      </w:r>
      <w:r>
        <w:rPr>
          <w:spacing w:val="-15"/>
        </w:rPr>
        <w:t> </w:t>
      </w:r>
      <w:r>
        <w:rPr/>
        <w:t>los</w:t>
      </w:r>
      <w:r>
        <w:rPr>
          <w:spacing w:val="-14"/>
        </w:rPr>
        <w:t> </w:t>
      </w:r>
      <w:r>
        <w:rPr/>
        <w:t>pacientes durante el pre-operatorio se refiere a la  cantidad  de  dolor que se experimentará después de la cirugía. El dolor agudo postoperatorio</w:t>
      </w:r>
      <w:r>
        <w:rPr>
          <w:spacing w:val="-20"/>
        </w:rPr>
        <w:t> </w:t>
      </w:r>
      <w:r>
        <w:rPr/>
        <w:t>(DAPO)</w:t>
      </w:r>
      <w:r>
        <w:rPr>
          <w:spacing w:val="-19"/>
        </w:rPr>
        <w:t> </w:t>
      </w:r>
      <w:r>
        <w:rPr/>
        <w:t>mal</w:t>
      </w:r>
      <w:r>
        <w:rPr>
          <w:spacing w:val="-20"/>
        </w:rPr>
        <w:t> </w:t>
      </w:r>
      <w:r>
        <w:rPr/>
        <w:t>tratado</w:t>
      </w:r>
      <w:r>
        <w:rPr>
          <w:spacing w:val="-19"/>
        </w:rPr>
        <w:t> </w:t>
      </w:r>
      <w:r>
        <w:rPr/>
        <w:t>se</w:t>
      </w:r>
      <w:r>
        <w:rPr>
          <w:spacing w:val="-20"/>
        </w:rPr>
        <w:t> </w:t>
      </w:r>
      <w:r>
        <w:rPr/>
        <w:t>asocia</w:t>
      </w:r>
      <w:r>
        <w:rPr>
          <w:spacing w:val="-19"/>
        </w:rPr>
        <w:t> </w:t>
      </w:r>
      <w:r>
        <w:rPr/>
        <w:t>a</w:t>
      </w:r>
      <w:r>
        <w:rPr>
          <w:spacing w:val="-20"/>
        </w:rPr>
        <w:t> </w:t>
      </w:r>
      <w:r>
        <w:rPr/>
        <w:t>mayor</w:t>
      </w:r>
      <w:r>
        <w:rPr>
          <w:spacing w:val="-19"/>
        </w:rPr>
        <w:t> </w:t>
      </w:r>
      <w:r>
        <w:rPr/>
        <w:t>incidencia de complicaciones y resultados clínicos negativos, tales como reducción</w:t>
      </w:r>
      <w:r>
        <w:rPr>
          <w:spacing w:val="-19"/>
        </w:rPr>
        <w:t> </w:t>
      </w:r>
      <w:r>
        <w:rPr/>
        <w:t>de</w:t>
      </w:r>
      <w:r>
        <w:rPr>
          <w:spacing w:val="-18"/>
        </w:rPr>
        <w:t> </w:t>
      </w:r>
      <w:r>
        <w:rPr/>
        <w:t>la</w:t>
      </w:r>
      <w:r>
        <w:rPr>
          <w:spacing w:val="-18"/>
        </w:rPr>
        <w:t> </w:t>
      </w:r>
      <w:r>
        <w:rPr/>
        <w:t>capacidad</w:t>
      </w:r>
      <w:r>
        <w:rPr>
          <w:spacing w:val="-18"/>
        </w:rPr>
        <w:t> </w:t>
      </w:r>
      <w:r>
        <w:rPr/>
        <w:t>vital</w:t>
      </w:r>
      <w:r>
        <w:rPr>
          <w:spacing w:val="-18"/>
        </w:rPr>
        <w:t> </w:t>
      </w:r>
      <w:r>
        <w:rPr/>
        <w:t>y</w:t>
      </w:r>
      <w:r>
        <w:rPr>
          <w:spacing w:val="-18"/>
        </w:rPr>
        <w:t> </w:t>
      </w:r>
      <w:r>
        <w:rPr/>
        <w:t>ventilación</w:t>
      </w:r>
      <w:r>
        <w:rPr>
          <w:spacing w:val="-18"/>
        </w:rPr>
        <w:t> </w:t>
      </w:r>
      <w:r>
        <w:rPr>
          <w:spacing w:val="-3"/>
        </w:rPr>
        <w:t>alveolar,</w:t>
      </w:r>
      <w:r>
        <w:rPr>
          <w:spacing w:val="-18"/>
        </w:rPr>
        <w:t> </w:t>
      </w:r>
      <w:r>
        <w:rPr/>
        <w:t>neumonía, taquicardia, hipertensión, isquemia miocárdica, transición a dolor crónico, mala cicatrización de heridas e insomnio. El DAPO constituye una de las 3 primeras causas de retraso en el alta de pacientes que se someten a cirugía ambulatoria. Es </w:t>
      </w:r>
      <w:r>
        <w:rPr>
          <w:spacing w:val="-2"/>
        </w:rPr>
        <w:t>por </w:t>
      </w:r>
      <w:r>
        <w:rPr/>
        <w:t>esto</w:t>
      </w:r>
      <w:r>
        <w:rPr>
          <w:spacing w:val="-5"/>
        </w:rPr>
        <w:t> </w:t>
      </w:r>
      <w:r>
        <w:rPr/>
        <w:t>que</w:t>
      </w:r>
      <w:r>
        <w:rPr>
          <w:spacing w:val="-4"/>
        </w:rPr>
        <w:t> </w:t>
      </w:r>
      <w:r>
        <w:rPr/>
        <w:t>en</w:t>
      </w:r>
      <w:r>
        <w:rPr>
          <w:spacing w:val="-5"/>
        </w:rPr>
        <w:t> </w:t>
      </w:r>
      <w:r>
        <w:rPr/>
        <w:t>las</w:t>
      </w:r>
      <w:r>
        <w:rPr>
          <w:spacing w:val="-4"/>
        </w:rPr>
        <w:t> </w:t>
      </w:r>
      <w:r>
        <w:rPr/>
        <w:t>últimas</w:t>
      </w:r>
      <w:r>
        <w:rPr>
          <w:spacing w:val="-4"/>
        </w:rPr>
        <w:t> </w:t>
      </w:r>
      <w:r>
        <w:rPr/>
        <w:t>décadas</w:t>
      </w:r>
      <w:r>
        <w:rPr>
          <w:spacing w:val="-5"/>
        </w:rPr>
        <w:t> </w:t>
      </w:r>
      <w:r>
        <w:rPr/>
        <w:t>se</w:t>
      </w:r>
      <w:r>
        <w:rPr>
          <w:spacing w:val="-4"/>
        </w:rPr>
        <w:t> </w:t>
      </w:r>
      <w:r>
        <w:rPr/>
        <w:t>ha</w:t>
      </w:r>
      <w:r>
        <w:rPr>
          <w:spacing w:val="-4"/>
        </w:rPr>
        <w:t> </w:t>
      </w:r>
      <w:r>
        <w:rPr/>
        <w:t>puesto</w:t>
      </w:r>
      <w:r>
        <w:rPr>
          <w:spacing w:val="-5"/>
        </w:rPr>
        <w:t> </w:t>
      </w:r>
      <w:r>
        <w:rPr/>
        <w:t>especial</w:t>
      </w:r>
      <w:r>
        <w:rPr>
          <w:spacing w:val="-4"/>
        </w:rPr>
        <w:t> </w:t>
      </w:r>
      <w:r>
        <w:rPr/>
        <w:t>énfasis</w:t>
      </w:r>
      <w:r>
        <w:rPr>
          <w:spacing w:val="-4"/>
        </w:rPr>
        <w:t> </w:t>
      </w:r>
      <w:r>
        <w:rPr/>
        <w:t>en lograr</w:t>
      </w:r>
      <w:r>
        <w:rPr>
          <w:spacing w:val="-15"/>
        </w:rPr>
        <w:t> </w:t>
      </w:r>
      <w:r>
        <w:rPr/>
        <w:t>un</w:t>
      </w:r>
      <w:r>
        <w:rPr>
          <w:spacing w:val="-15"/>
        </w:rPr>
        <w:t> </w:t>
      </w:r>
      <w:r>
        <w:rPr/>
        <w:t>adecuado</w:t>
      </w:r>
      <w:r>
        <w:rPr>
          <w:spacing w:val="-14"/>
        </w:rPr>
        <w:t> </w:t>
      </w:r>
      <w:r>
        <w:rPr/>
        <w:t>control</w:t>
      </w:r>
      <w:r>
        <w:rPr>
          <w:spacing w:val="-15"/>
        </w:rPr>
        <w:t> </w:t>
      </w:r>
      <w:r>
        <w:rPr/>
        <w:t>analgésico</w:t>
      </w:r>
      <w:r>
        <w:rPr>
          <w:spacing w:val="-15"/>
        </w:rPr>
        <w:t> </w:t>
      </w:r>
      <w:r>
        <w:rPr/>
        <w:t>luego</w:t>
      </w:r>
      <w:r>
        <w:rPr>
          <w:spacing w:val="-14"/>
        </w:rPr>
        <w:t> </w:t>
      </w:r>
      <w:r>
        <w:rPr/>
        <w:t>de</w:t>
      </w:r>
      <w:r>
        <w:rPr>
          <w:spacing w:val="-15"/>
        </w:rPr>
        <w:t> </w:t>
      </w:r>
      <w:r>
        <w:rPr/>
        <w:t>una</w:t>
      </w:r>
      <w:r>
        <w:rPr>
          <w:spacing w:val="-15"/>
        </w:rPr>
        <w:t> </w:t>
      </w:r>
      <w:r>
        <w:rPr/>
        <w:t>cirugía.</w:t>
      </w:r>
      <w:r>
        <w:rPr>
          <w:spacing w:val="-14"/>
        </w:rPr>
        <w:t> </w:t>
      </w:r>
      <w:r>
        <w:rPr>
          <w:spacing w:val="-2"/>
        </w:rPr>
        <w:t>Una </w:t>
      </w:r>
      <w:r>
        <w:rPr/>
        <w:t>buena</w:t>
      </w:r>
      <w:r>
        <w:rPr>
          <w:spacing w:val="-23"/>
        </w:rPr>
        <w:t> </w:t>
      </w:r>
      <w:r>
        <w:rPr/>
        <w:t>analgesia</w:t>
      </w:r>
      <w:r>
        <w:rPr>
          <w:spacing w:val="-22"/>
        </w:rPr>
        <w:t> </w:t>
      </w:r>
      <w:r>
        <w:rPr/>
        <w:t>post</w:t>
      </w:r>
      <w:r>
        <w:rPr>
          <w:spacing w:val="-22"/>
        </w:rPr>
        <w:t> </w:t>
      </w:r>
      <w:r>
        <w:rPr/>
        <w:t>operatoria</w:t>
      </w:r>
      <w:r>
        <w:rPr>
          <w:spacing w:val="-22"/>
        </w:rPr>
        <w:t> </w:t>
      </w:r>
      <w:r>
        <w:rPr/>
        <w:t>permite</w:t>
      </w:r>
      <w:r>
        <w:rPr>
          <w:spacing w:val="-22"/>
        </w:rPr>
        <w:t> </w:t>
      </w:r>
      <w:r>
        <w:rPr/>
        <w:t>una</w:t>
      </w:r>
      <w:r>
        <w:rPr>
          <w:spacing w:val="-22"/>
        </w:rPr>
        <w:t> </w:t>
      </w:r>
      <w:r>
        <w:rPr/>
        <w:t>movilización</w:t>
      </w:r>
      <w:r>
        <w:rPr>
          <w:spacing w:val="-23"/>
        </w:rPr>
        <w:t> </w:t>
      </w:r>
      <w:r>
        <w:rPr>
          <w:spacing w:val="-2"/>
        </w:rPr>
        <w:t>precoz </w:t>
      </w:r>
      <w:r>
        <w:rPr/>
        <w:t>y</w:t>
      </w:r>
      <w:r>
        <w:rPr>
          <w:spacing w:val="-8"/>
        </w:rPr>
        <w:t> </w:t>
      </w:r>
      <w:r>
        <w:rPr/>
        <w:t>claramente</w:t>
      </w:r>
      <w:r>
        <w:rPr>
          <w:spacing w:val="-8"/>
        </w:rPr>
        <w:t> </w:t>
      </w:r>
      <w:r>
        <w:rPr/>
        <w:t>una</w:t>
      </w:r>
      <w:r>
        <w:rPr>
          <w:spacing w:val="-8"/>
        </w:rPr>
        <w:t> </w:t>
      </w:r>
      <w:r>
        <w:rPr/>
        <w:t>mejoría</w:t>
      </w:r>
      <w:r>
        <w:rPr>
          <w:spacing w:val="-7"/>
        </w:rPr>
        <w:t> </w:t>
      </w:r>
      <w:r>
        <w:rPr/>
        <w:t>en</w:t>
      </w:r>
      <w:r>
        <w:rPr>
          <w:spacing w:val="-8"/>
        </w:rPr>
        <w:t> </w:t>
      </w:r>
      <w:r>
        <w:rPr/>
        <w:t>el</w:t>
      </w:r>
      <w:r>
        <w:rPr>
          <w:spacing w:val="-8"/>
        </w:rPr>
        <w:t> </w:t>
      </w:r>
      <w:r>
        <w:rPr/>
        <w:t>bienestar</w:t>
      </w:r>
      <w:r>
        <w:rPr>
          <w:spacing w:val="-7"/>
        </w:rPr>
        <w:t> </w:t>
      </w:r>
      <w:r>
        <w:rPr/>
        <w:t>del</w:t>
      </w:r>
      <w:r>
        <w:rPr>
          <w:spacing w:val="-8"/>
        </w:rPr>
        <w:t> </w:t>
      </w:r>
      <w:r>
        <w:rPr/>
        <w:t>paciente</w:t>
      </w:r>
      <w:r>
        <w:rPr>
          <w:spacing w:val="-8"/>
        </w:rPr>
        <w:t> </w:t>
      </w:r>
      <w:r>
        <w:rPr/>
        <w:t>(1).</w:t>
      </w:r>
    </w:p>
    <w:p>
      <w:pPr>
        <w:pStyle w:val="BodyText"/>
        <w:spacing w:line="225" w:lineRule="auto" w:before="3"/>
        <w:ind w:left="113" w:right="110"/>
        <w:jc w:val="both"/>
      </w:pPr>
      <w:r>
        <w:rPr/>
        <w:t>La</w:t>
      </w:r>
      <w:r>
        <w:rPr>
          <w:spacing w:val="-19"/>
        </w:rPr>
        <w:t> </w:t>
      </w:r>
      <w:r>
        <w:rPr/>
        <w:t>ketamina</w:t>
      </w:r>
      <w:r>
        <w:rPr>
          <w:spacing w:val="-18"/>
        </w:rPr>
        <w:t> </w:t>
      </w:r>
      <w:r>
        <w:rPr/>
        <w:t>(KET),</w:t>
      </w:r>
      <w:r>
        <w:rPr>
          <w:spacing w:val="-18"/>
        </w:rPr>
        <w:t> </w:t>
      </w:r>
      <w:r>
        <w:rPr/>
        <w:t>un</w:t>
      </w:r>
      <w:r>
        <w:rPr>
          <w:spacing w:val="-19"/>
        </w:rPr>
        <w:t> </w:t>
      </w:r>
      <w:r>
        <w:rPr/>
        <w:t>fármaco</w:t>
      </w:r>
      <w:r>
        <w:rPr>
          <w:spacing w:val="-18"/>
        </w:rPr>
        <w:t> </w:t>
      </w:r>
      <w:r>
        <w:rPr/>
        <w:t>anestésico</w:t>
      </w:r>
      <w:r>
        <w:rPr>
          <w:spacing w:val="-19"/>
        </w:rPr>
        <w:t> </w:t>
      </w:r>
      <w:r>
        <w:rPr/>
        <w:t>clásico,</w:t>
      </w:r>
      <w:r>
        <w:rPr>
          <w:spacing w:val="-18"/>
        </w:rPr>
        <w:t> </w:t>
      </w:r>
      <w:r>
        <w:rPr/>
        <w:t>escasamente utilizado en la actualidad para inducir o mantener anestesia, ha resultado ser un fármaco de especial interés, con una creciente indicación</w:t>
      </w:r>
      <w:r>
        <w:rPr>
          <w:spacing w:val="-13"/>
        </w:rPr>
        <w:t> </w:t>
      </w:r>
      <w:r>
        <w:rPr/>
        <w:t>como</w:t>
      </w:r>
      <w:r>
        <w:rPr>
          <w:spacing w:val="-13"/>
        </w:rPr>
        <w:t> </w:t>
      </w:r>
      <w:r>
        <w:rPr/>
        <w:t>analgésico</w:t>
      </w:r>
      <w:r>
        <w:rPr>
          <w:spacing w:val="-12"/>
        </w:rPr>
        <w:t> </w:t>
      </w:r>
      <w:r>
        <w:rPr/>
        <w:t>para</w:t>
      </w:r>
      <w:r>
        <w:rPr>
          <w:spacing w:val="-13"/>
        </w:rPr>
        <w:t> </w:t>
      </w:r>
      <w:r>
        <w:rPr/>
        <w:t>el</w:t>
      </w:r>
      <w:r>
        <w:rPr>
          <w:spacing w:val="-12"/>
        </w:rPr>
        <w:t> </w:t>
      </w:r>
      <w:r>
        <w:rPr/>
        <w:t>tratamiento</w:t>
      </w:r>
      <w:r>
        <w:rPr>
          <w:spacing w:val="-13"/>
        </w:rPr>
        <w:t> </w:t>
      </w:r>
      <w:r>
        <w:rPr/>
        <w:t>del</w:t>
      </w:r>
      <w:r>
        <w:rPr>
          <w:spacing w:val="-12"/>
        </w:rPr>
        <w:t> </w:t>
      </w:r>
      <w:r>
        <w:rPr/>
        <w:t>dolor</w:t>
      </w:r>
      <w:r>
        <w:rPr>
          <w:spacing w:val="-13"/>
        </w:rPr>
        <w:t> </w:t>
      </w:r>
      <w:r>
        <w:rPr>
          <w:spacing w:val="-2"/>
        </w:rPr>
        <w:t>agudo. </w:t>
      </w:r>
      <w:r>
        <w:rPr/>
        <w:t>La</w:t>
      </w:r>
      <w:r>
        <w:rPr>
          <w:spacing w:val="-23"/>
        </w:rPr>
        <w:t> </w:t>
      </w:r>
      <w:r>
        <w:rPr/>
        <w:t>KET</w:t>
      </w:r>
      <w:r>
        <w:rPr>
          <w:spacing w:val="-24"/>
        </w:rPr>
        <w:t> </w:t>
      </w:r>
      <w:r>
        <w:rPr/>
        <w:t>es</w:t>
      </w:r>
      <w:r>
        <w:rPr>
          <w:spacing w:val="-23"/>
        </w:rPr>
        <w:t> </w:t>
      </w:r>
      <w:r>
        <w:rPr/>
        <w:t>un</w:t>
      </w:r>
      <w:r>
        <w:rPr>
          <w:spacing w:val="-22"/>
        </w:rPr>
        <w:t> </w:t>
      </w:r>
      <w:r>
        <w:rPr/>
        <w:t>anestésico</w:t>
      </w:r>
      <w:r>
        <w:rPr>
          <w:spacing w:val="-22"/>
        </w:rPr>
        <w:t> </w:t>
      </w:r>
      <w:r>
        <w:rPr/>
        <w:t>disociativo,</w:t>
      </w:r>
      <w:r>
        <w:rPr>
          <w:spacing w:val="-23"/>
        </w:rPr>
        <w:t> </w:t>
      </w:r>
      <w:r>
        <w:rPr/>
        <w:t>que</w:t>
      </w:r>
      <w:r>
        <w:rPr>
          <w:spacing w:val="-22"/>
        </w:rPr>
        <w:t> </w:t>
      </w:r>
      <w:r>
        <w:rPr/>
        <w:t>actúa</w:t>
      </w:r>
      <w:r>
        <w:rPr>
          <w:spacing w:val="-23"/>
        </w:rPr>
        <w:t> </w:t>
      </w:r>
      <w:r>
        <w:rPr/>
        <w:t>como</w:t>
      </w:r>
      <w:r>
        <w:rPr>
          <w:spacing w:val="-22"/>
        </w:rPr>
        <w:t> </w:t>
      </w:r>
      <w:r>
        <w:rPr/>
        <w:t>antagonista competitivo de la Fenciclidina, por el receptor excitatorio </w:t>
      </w:r>
      <w:r>
        <w:rPr>
          <w:spacing w:val="-2"/>
        </w:rPr>
        <w:t>del </w:t>
      </w:r>
      <w:r>
        <w:rPr/>
        <w:t>Glutamato N-metil-D-aspartato (NMDA) (2). Su efecto</w:t>
      </w:r>
      <w:r>
        <w:rPr>
          <w:spacing w:val="-29"/>
        </w:rPr>
        <w:t> </w:t>
      </w:r>
      <w:r>
        <w:rPr/>
        <w:t>clínico se debe, en su mayor parte, a la interacción con este </w:t>
      </w:r>
      <w:r>
        <w:rPr>
          <w:spacing w:val="-3"/>
        </w:rPr>
        <w:t>receptor, </w:t>
      </w:r>
      <w:r>
        <w:rPr/>
        <w:t>aunque presenta otros efectos que derivan de su interacción con receptores de tipo </w:t>
      </w:r>
      <w:r>
        <w:rPr>
          <w:spacing w:val="-3"/>
        </w:rPr>
        <w:t>colinérgico </w:t>
      </w:r>
      <w:r>
        <w:rPr/>
        <w:t>(nicotínico y</w:t>
      </w:r>
      <w:r>
        <w:rPr>
          <w:spacing w:val="20"/>
        </w:rPr>
        <w:t> </w:t>
      </w:r>
      <w:r>
        <w:rPr/>
        <w:t>muscarínico),</w:t>
      </w:r>
    </w:p>
    <w:p>
      <w:pPr>
        <w:spacing w:after="0" w:line="225" w:lineRule="auto"/>
        <w:jc w:val="both"/>
        <w:sectPr>
          <w:type w:val="continuous"/>
          <w:pgSz w:w="11910" w:h="15310"/>
          <w:pgMar w:top="0" w:bottom="280" w:left="1020" w:right="1020"/>
          <w:cols w:num="2" w:equalWidth="0">
            <w:col w:w="4676" w:space="450"/>
            <w:col w:w="4744"/>
          </w:cols>
        </w:sectPr>
      </w:pPr>
    </w:p>
    <w:p>
      <w:pPr>
        <w:pStyle w:val="BodyText"/>
        <w:spacing w:line="20" w:lineRule="exact"/>
        <w:ind w:left="103"/>
        <w:rPr>
          <w:sz w:val="2"/>
        </w:rPr>
      </w:pPr>
      <w:r>
        <w:rPr>
          <w:sz w:val="2"/>
        </w:rPr>
        <w:pict>
          <v:group style="width:481.9pt;height:1pt;mso-position-horizontal-relative:char;mso-position-vertical-relative:line" coordorigin="0,0" coordsize="9638,20">
            <v:line style="position:absolute" from="0,10" to="9638,10" stroked="true" strokeweight="1pt" strokecolor="#000000">
              <v:stroke dashstyle="solid"/>
            </v:line>
          </v:group>
        </w:pict>
      </w:r>
      <w:r>
        <w:rPr>
          <w:sz w:val="2"/>
        </w:rPr>
      </w: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headerReference w:type="default" r:id="rId7"/>
          <w:headerReference w:type="even" r:id="rId8"/>
          <w:pgSz w:w="11910" w:h="15310"/>
          <w:pgMar w:header="694" w:footer="0" w:top="1100" w:bottom="280" w:left="1020" w:right="1020"/>
          <w:pgNumType w:start="25"/>
        </w:sectPr>
      </w:pPr>
    </w:p>
    <w:p>
      <w:pPr>
        <w:pStyle w:val="BodyText"/>
        <w:spacing w:before="7"/>
        <w:rPr>
          <w:sz w:val="21"/>
        </w:rPr>
      </w:pPr>
    </w:p>
    <w:p>
      <w:pPr>
        <w:pStyle w:val="BodyText"/>
        <w:spacing w:line="225" w:lineRule="auto"/>
        <w:ind w:left="113" w:right="48"/>
        <w:jc w:val="both"/>
      </w:pPr>
      <w:r>
        <w:rPr/>
        <w:t>monoaminérgico y opioide, así como por su interacción con canales de calcio y sodio.</w:t>
      </w:r>
    </w:p>
    <w:p>
      <w:pPr>
        <w:pStyle w:val="BodyText"/>
        <w:spacing w:line="225" w:lineRule="auto" w:before="1"/>
        <w:ind w:left="113" w:right="47"/>
        <w:jc w:val="both"/>
      </w:pPr>
      <w:r>
        <w:rPr/>
        <w:t>El estudio del rol de la KET en el manejo del DAPO y dolor crónico (DC) ha venido en auge en la última década. Se trata de un fármaco </w:t>
      </w:r>
      <w:r>
        <w:rPr>
          <w:spacing w:val="-3"/>
        </w:rPr>
        <w:t>neuromodulador, </w:t>
      </w:r>
      <w:r>
        <w:rPr/>
        <w:t>con un mecanismo de </w:t>
      </w:r>
      <w:r>
        <w:rPr>
          <w:spacing w:val="-2"/>
        </w:rPr>
        <w:t>acción </w:t>
      </w:r>
      <w:r>
        <w:rPr/>
        <w:t>múltiple, que puede aportar interesantes beneficios en casos</w:t>
      </w:r>
      <w:r>
        <w:rPr>
          <w:spacing w:val="-20"/>
        </w:rPr>
        <w:t> </w:t>
      </w:r>
      <w:r>
        <w:rPr/>
        <w:t>de dolor</w:t>
      </w:r>
      <w:r>
        <w:rPr>
          <w:spacing w:val="-6"/>
        </w:rPr>
        <w:t> </w:t>
      </w:r>
      <w:r>
        <w:rPr/>
        <w:t>intratable,</w:t>
      </w:r>
      <w:r>
        <w:rPr>
          <w:spacing w:val="-6"/>
        </w:rPr>
        <w:t> </w:t>
      </w:r>
      <w:r>
        <w:rPr/>
        <w:t>en</w:t>
      </w:r>
      <w:r>
        <w:rPr>
          <w:spacing w:val="-6"/>
        </w:rPr>
        <w:t> </w:t>
      </w:r>
      <w:r>
        <w:rPr/>
        <w:t>particular</w:t>
      </w:r>
      <w:r>
        <w:rPr>
          <w:spacing w:val="-6"/>
        </w:rPr>
        <w:t> </w:t>
      </w:r>
      <w:r>
        <w:rPr/>
        <w:t>de</w:t>
      </w:r>
      <w:r>
        <w:rPr>
          <w:spacing w:val="-6"/>
        </w:rPr>
        <w:t> </w:t>
      </w:r>
      <w:r>
        <w:rPr/>
        <w:t>tipo</w:t>
      </w:r>
      <w:r>
        <w:rPr>
          <w:spacing w:val="-5"/>
        </w:rPr>
        <w:t> </w:t>
      </w:r>
      <w:r>
        <w:rPr/>
        <w:t>neuropático</w:t>
      </w:r>
      <w:r>
        <w:rPr>
          <w:spacing w:val="-6"/>
        </w:rPr>
        <w:t> </w:t>
      </w:r>
      <w:r>
        <w:rPr/>
        <w:t>y</w:t>
      </w:r>
      <w:r>
        <w:rPr>
          <w:spacing w:val="-6"/>
        </w:rPr>
        <w:t> </w:t>
      </w:r>
      <w:r>
        <w:rPr/>
        <w:t>que,</w:t>
      </w:r>
      <w:r>
        <w:rPr>
          <w:spacing w:val="-6"/>
        </w:rPr>
        <w:t> </w:t>
      </w:r>
      <w:r>
        <w:rPr/>
        <w:t>a</w:t>
      </w:r>
      <w:r>
        <w:rPr>
          <w:spacing w:val="-6"/>
        </w:rPr>
        <w:t> </w:t>
      </w:r>
      <w:r>
        <w:rPr/>
        <w:t>dosis sub</w:t>
      </w:r>
      <w:r>
        <w:rPr>
          <w:spacing w:val="-16"/>
        </w:rPr>
        <w:t> </w:t>
      </w:r>
      <w:r>
        <w:rPr/>
        <w:t>anestésicas,</w:t>
      </w:r>
      <w:r>
        <w:rPr>
          <w:spacing w:val="-16"/>
        </w:rPr>
        <w:t> </w:t>
      </w:r>
      <w:r>
        <w:rPr/>
        <w:t>puede</w:t>
      </w:r>
      <w:r>
        <w:rPr>
          <w:spacing w:val="-15"/>
        </w:rPr>
        <w:t> </w:t>
      </w:r>
      <w:r>
        <w:rPr/>
        <w:t>ser</w:t>
      </w:r>
      <w:r>
        <w:rPr>
          <w:spacing w:val="-16"/>
        </w:rPr>
        <w:t> </w:t>
      </w:r>
      <w:r>
        <w:rPr/>
        <w:t>administrado</w:t>
      </w:r>
      <w:r>
        <w:rPr>
          <w:spacing w:val="-15"/>
        </w:rPr>
        <w:t> </w:t>
      </w:r>
      <w:r>
        <w:rPr/>
        <w:t>con</w:t>
      </w:r>
      <w:r>
        <w:rPr>
          <w:spacing w:val="-16"/>
        </w:rPr>
        <w:t> </w:t>
      </w:r>
      <w:r>
        <w:rPr/>
        <w:t>un</w:t>
      </w:r>
      <w:r>
        <w:rPr>
          <w:spacing w:val="-15"/>
        </w:rPr>
        <w:t> </w:t>
      </w:r>
      <w:r>
        <w:rPr/>
        <w:t>elevado</w:t>
      </w:r>
      <w:r>
        <w:rPr>
          <w:spacing w:val="-16"/>
        </w:rPr>
        <w:t> </w:t>
      </w:r>
      <w:r>
        <w:rPr/>
        <w:t>perfil</w:t>
      </w:r>
      <w:r>
        <w:rPr>
          <w:spacing w:val="-16"/>
        </w:rPr>
        <w:t> </w:t>
      </w:r>
      <w:r>
        <w:rPr/>
        <w:t>de seguridad y escasos efectos</w:t>
      </w:r>
      <w:r>
        <w:rPr>
          <w:spacing w:val="-21"/>
        </w:rPr>
        <w:t> </w:t>
      </w:r>
      <w:r>
        <w:rPr/>
        <w:t>adversos.</w:t>
      </w:r>
    </w:p>
    <w:p>
      <w:pPr>
        <w:pStyle w:val="BodyText"/>
        <w:spacing w:line="225" w:lineRule="auto" w:before="2"/>
        <w:ind w:left="113" w:right="38"/>
        <w:jc w:val="both"/>
      </w:pPr>
      <w:r>
        <w:rPr/>
        <w:t>La</w:t>
      </w:r>
      <w:r>
        <w:rPr>
          <w:spacing w:val="-33"/>
        </w:rPr>
        <w:t> </w:t>
      </w:r>
      <w:r>
        <w:rPr/>
        <w:t>realización</w:t>
      </w:r>
      <w:r>
        <w:rPr>
          <w:spacing w:val="-32"/>
        </w:rPr>
        <w:t> </w:t>
      </w:r>
      <w:r>
        <w:rPr/>
        <w:t>de</w:t>
      </w:r>
      <w:r>
        <w:rPr>
          <w:spacing w:val="-33"/>
        </w:rPr>
        <w:t> </w:t>
      </w:r>
      <w:r>
        <w:rPr/>
        <w:t>numerosos</w:t>
      </w:r>
      <w:r>
        <w:rPr>
          <w:spacing w:val="-32"/>
        </w:rPr>
        <w:t> </w:t>
      </w:r>
      <w:r>
        <w:rPr/>
        <w:t>estudios</w:t>
      </w:r>
      <w:r>
        <w:rPr>
          <w:spacing w:val="-32"/>
        </w:rPr>
        <w:t> </w:t>
      </w:r>
      <w:r>
        <w:rPr/>
        <w:t>randomizados,</w:t>
      </w:r>
      <w:r>
        <w:rPr>
          <w:spacing w:val="-33"/>
        </w:rPr>
        <w:t> </w:t>
      </w:r>
      <w:r>
        <w:rPr>
          <w:spacing w:val="-2"/>
        </w:rPr>
        <w:t>controlados, </w:t>
      </w:r>
      <w:r>
        <w:rPr/>
        <w:t>doble</w:t>
      </w:r>
      <w:r>
        <w:rPr>
          <w:spacing w:val="-23"/>
        </w:rPr>
        <w:t> </w:t>
      </w:r>
      <w:r>
        <w:rPr/>
        <w:t>ciego,</w:t>
      </w:r>
      <w:r>
        <w:rPr>
          <w:spacing w:val="-22"/>
        </w:rPr>
        <w:t> </w:t>
      </w:r>
      <w:r>
        <w:rPr/>
        <w:t>han</w:t>
      </w:r>
      <w:r>
        <w:rPr>
          <w:spacing w:val="-23"/>
        </w:rPr>
        <w:t> </w:t>
      </w:r>
      <w:r>
        <w:rPr/>
        <w:t>puesto</w:t>
      </w:r>
      <w:r>
        <w:rPr>
          <w:spacing w:val="-22"/>
        </w:rPr>
        <w:t> </w:t>
      </w:r>
      <w:r>
        <w:rPr/>
        <w:t>de</w:t>
      </w:r>
      <w:r>
        <w:rPr>
          <w:spacing w:val="-22"/>
        </w:rPr>
        <w:t> </w:t>
      </w:r>
      <w:r>
        <w:rPr/>
        <w:t>manifiesto</w:t>
      </w:r>
      <w:r>
        <w:rPr>
          <w:spacing w:val="-23"/>
        </w:rPr>
        <w:t> </w:t>
      </w:r>
      <w:r>
        <w:rPr/>
        <w:t>su</w:t>
      </w:r>
      <w:r>
        <w:rPr>
          <w:spacing w:val="-22"/>
        </w:rPr>
        <w:t> </w:t>
      </w:r>
      <w:r>
        <w:rPr/>
        <w:t>utilidad</w:t>
      </w:r>
      <w:r>
        <w:rPr>
          <w:spacing w:val="-22"/>
        </w:rPr>
        <w:t> </w:t>
      </w:r>
      <w:r>
        <w:rPr/>
        <w:t>como</w:t>
      </w:r>
      <w:r>
        <w:rPr>
          <w:spacing w:val="-23"/>
        </w:rPr>
        <w:t> </w:t>
      </w:r>
      <w:r>
        <w:rPr/>
        <w:t>ahorrador de</w:t>
      </w:r>
      <w:r>
        <w:rPr>
          <w:spacing w:val="-16"/>
        </w:rPr>
        <w:t> </w:t>
      </w:r>
      <w:r>
        <w:rPr/>
        <w:t>opioides,</w:t>
      </w:r>
      <w:r>
        <w:rPr>
          <w:spacing w:val="-16"/>
        </w:rPr>
        <w:t> </w:t>
      </w:r>
      <w:r>
        <w:rPr/>
        <w:t>como</w:t>
      </w:r>
      <w:r>
        <w:rPr>
          <w:spacing w:val="-16"/>
        </w:rPr>
        <w:t> </w:t>
      </w:r>
      <w:r>
        <w:rPr/>
        <w:t>coanalgésico</w:t>
      </w:r>
      <w:r>
        <w:rPr>
          <w:spacing w:val="-16"/>
        </w:rPr>
        <w:t> </w:t>
      </w:r>
      <w:r>
        <w:rPr/>
        <w:t>en</w:t>
      </w:r>
      <w:r>
        <w:rPr>
          <w:spacing w:val="-16"/>
        </w:rPr>
        <w:t> </w:t>
      </w:r>
      <w:r>
        <w:rPr/>
        <w:t>anestesia</w:t>
      </w:r>
      <w:r>
        <w:rPr>
          <w:spacing w:val="-16"/>
        </w:rPr>
        <w:t> </w:t>
      </w:r>
      <w:r>
        <w:rPr/>
        <w:t>local</w:t>
      </w:r>
      <w:r>
        <w:rPr>
          <w:spacing w:val="-16"/>
        </w:rPr>
        <w:t> </w:t>
      </w:r>
      <w:r>
        <w:rPr/>
        <w:t>y</w:t>
      </w:r>
      <w:r>
        <w:rPr>
          <w:spacing w:val="-16"/>
        </w:rPr>
        <w:t> </w:t>
      </w:r>
      <w:r>
        <w:rPr/>
        <w:t>regional,</w:t>
      </w:r>
      <w:r>
        <w:rPr>
          <w:spacing w:val="-16"/>
        </w:rPr>
        <w:t> </w:t>
      </w:r>
      <w:r>
        <w:rPr>
          <w:spacing w:val="-2"/>
        </w:rPr>
        <w:t>así </w:t>
      </w:r>
      <w:r>
        <w:rPr/>
        <w:t>como en el tratamiento preventivo de situaciones de DAPO. A pesar de que los datos que ofrecen dichos estudios no son </w:t>
      </w:r>
      <w:r>
        <w:rPr>
          <w:spacing w:val="-2"/>
        </w:rPr>
        <w:t>del </w:t>
      </w:r>
      <w:r>
        <w:rPr/>
        <w:t>todo</w:t>
      </w:r>
      <w:r>
        <w:rPr>
          <w:spacing w:val="-15"/>
        </w:rPr>
        <w:t> </w:t>
      </w:r>
      <w:r>
        <w:rPr/>
        <w:t>concluyentes</w:t>
      </w:r>
      <w:r>
        <w:rPr>
          <w:spacing w:val="-14"/>
        </w:rPr>
        <w:t> </w:t>
      </w:r>
      <w:r>
        <w:rPr/>
        <w:t>en</w:t>
      </w:r>
      <w:r>
        <w:rPr>
          <w:spacing w:val="-14"/>
        </w:rPr>
        <w:t> </w:t>
      </w:r>
      <w:r>
        <w:rPr/>
        <w:t>cuanto</w:t>
      </w:r>
      <w:r>
        <w:rPr>
          <w:spacing w:val="-14"/>
        </w:rPr>
        <w:t> </w:t>
      </w:r>
      <w:r>
        <w:rPr/>
        <w:t>a</w:t>
      </w:r>
      <w:r>
        <w:rPr>
          <w:spacing w:val="-14"/>
        </w:rPr>
        <w:t> </w:t>
      </w:r>
      <w:r>
        <w:rPr/>
        <w:t>eficacia</w:t>
      </w:r>
      <w:r>
        <w:rPr>
          <w:spacing w:val="-14"/>
        </w:rPr>
        <w:t> </w:t>
      </w:r>
      <w:r>
        <w:rPr/>
        <w:t>y</w:t>
      </w:r>
      <w:r>
        <w:rPr>
          <w:spacing w:val="-15"/>
        </w:rPr>
        <w:t> </w:t>
      </w:r>
      <w:r>
        <w:rPr/>
        <w:t>seguridad</w:t>
      </w:r>
      <w:r>
        <w:rPr>
          <w:spacing w:val="-15"/>
        </w:rPr>
        <w:t> </w:t>
      </w:r>
      <w:r>
        <w:rPr/>
        <w:t>a</w:t>
      </w:r>
      <w:r>
        <w:rPr>
          <w:spacing w:val="-14"/>
        </w:rPr>
        <w:t> </w:t>
      </w:r>
      <w:r>
        <w:rPr>
          <w:spacing w:val="-3"/>
        </w:rPr>
        <w:t>largo</w:t>
      </w:r>
      <w:r>
        <w:rPr>
          <w:spacing w:val="-15"/>
        </w:rPr>
        <w:t> </w:t>
      </w:r>
      <w:r>
        <w:rPr>
          <w:spacing w:val="-2"/>
        </w:rPr>
        <w:t>plazo, </w:t>
      </w:r>
      <w:r>
        <w:rPr/>
        <w:t>parece claro que la </w:t>
      </w:r>
      <w:r>
        <w:rPr>
          <w:spacing w:val="-5"/>
        </w:rPr>
        <w:t>KET, </w:t>
      </w:r>
      <w:r>
        <w:rPr/>
        <w:t>un anestésico clásico, debe continuar presente (o ser incluida) en las guías de farmacoterapeútica de los</w:t>
      </w:r>
      <w:r>
        <w:rPr>
          <w:spacing w:val="-19"/>
        </w:rPr>
        <w:t> </w:t>
      </w:r>
      <w:r>
        <w:rPr/>
        <w:t>hospitales,</w:t>
      </w:r>
      <w:r>
        <w:rPr>
          <w:spacing w:val="-19"/>
        </w:rPr>
        <w:t> </w:t>
      </w:r>
      <w:r>
        <w:rPr/>
        <w:t>para</w:t>
      </w:r>
      <w:r>
        <w:rPr>
          <w:spacing w:val="-18"/>
        </w:rPr>
        <w:t> </w:t>
      </w:r>
      <w:r>
        <w:rPr/>
        <w:t>su</w:t>
      </w:r>
      <w:r>
        <w:rPr>
          <w:spacing w:val="-19"/>
        </w:rPr>
        <w:t> </w:t>
      </w:r>
      <w:r>
        <w:rPr/>
        <w:t>uso</w:t>
      </w:r>
      <w:r>
        <w:rPr>
          <w:spacing w:val="-19"/>
        </w:rPr>
        <w:t> </w:t>
      </w:r>
      <w:r>
        <w:rPr/>
        <w:t>como</w:t>
      </w:r>
      <w:r>
        <w:rPr>
          <w:spacing w:val="-18"/>
        </w:rPr>
        <w:t> </w:t>
      </w:r>
      <w:r>
        <w:rPr/>
        <w:t>anestésico,</w:t>
      </w:r>
      <w:r>
        <w:rPr>
          <w:spacing w:val="-19"/>
        </w:rPr>
        <w:t> </w:t>
      </w:r>
      <w:r>
        <w:rPr/>
        <w:t>analgésico</w:t>
      </w:r>
      <w:r>
        <w:rPr>
          <w:spacing w:val="-19"/>
        </w:rPr>
        <w:t> </w:t>
      </w:r>
      <w:r>
        <w:rPr/>
        <w:t>o</w:t>
      </w:r>
      <w:r>
        <w:rPr>
          <w:spacing w:val="-18"/>
        </w:rPr>
        <w:t> </w:t>
      </w:r>
      <w:r>
        <w:rPr/>
        <w:t>sedante en</w:t>
      </w:r>
      <w:r>
        <w:rPr>
          <w:spacing w:val="-13"/>
        </w:rPr>
        <w:t> </w:t>
      </w:r>
      <w:r>
        <w:rPr/>
        <w:t>procedimientos</w:t>
      </w:r>
      <w:r>
        <w:rPr>
          <w:spacing w:val="-13"/>
        </w:rPr>
        <w:t> </w:t>
      </w:r>
      <w:r>
        <w:rPr/>
        <w:t>especiales,</w:t>
      </w:r>
      <w:r>
        <w:rPr>
          <w:spacing w:val="-13"/>
        </w:rPr>
        <w:t> </w:t>
      </w:r>
      <w:r>
        <w:rPr/>
        <w:t>ya</w:t>
      </w:r>
      <w:r>
        <w:rPr>
          <w:spacing w:val="-13"/>
        </w:rPr>
        <w:t> </w:t>
      </w:r>
      <w:r>
        <w:rPr/>
        <w:t>que</w:t>
      </w:r>
      <w:r>
        <w:rPr>
          <w:spacing w:val="-13"/>
        </w:rPr>
        <w:t> </w:t>
      </w:r>
      <w:r>
        <w:rPr/>
        <w:t>podría</w:t>
      </w:r>
      <w:r>
        <w:rPr>
          <w:spacing w:val="-13"/>
        </w:rPr>
        <w:t> </w:t>
      </w:r>
      <w:r>
        <w:rPr/>
        <w:t>aportar</w:t>
      </w:r>
      <w:r>
        <w:rPr>
          <w:spacing w:val="-13"/>
        </w:rPr>
        <w:t> </w:t>
      </w:r>
      <w:r>
        <w:rPr>
          <w:spacing w:val="-2"/>
        </w:rPr>
        <w:t>interesantes </w:t>
      </w:r>
      <w:r>
        <w:rPr/>
        <w:t>beneficios aún por</w:t>
      </w:r>
      <w:r>
        <w:rPr>
          <w:spacing w:val="-14"/>
        </w:rPr>
        <w:t> </w:t>
      </w:r>
      <w:r>
        <w:rPr>
          <w:spacing w:val="-3"/>
        </w:rPr>
        <w:t>estudiar.</w:t>
      </w:r>
    </w:p>
    <w:p>
      <w:pPr>
        <w:pStyle w:val="Heading1"/>
        <w:spacing w:before="135"/>
        <w:jc w:val="both"/>
      </w:pPr>
      <w:r>
        <w:rPr/>
        <w:t>Mecanismo de Acción en Dolor Agudo</w:t>
      </w:r>
    </w:p>
    <w:p>
      <w:pPr>
        <w:pStyle w:val="BodyText"/>
        <w:spacing w:line="225" w:lineRule="auto"/>
        <w:ind w:left="113" w:right="46"/>
        <w:jc w:val="both"/>
      </w:pPr>
      <w:r>
        <w:rPr/>
        <w:t>El principal sitio de acción de la KET a nivel del sistema nervioso central (SNC) pareciese ser a nivel del sistema de proyección</w:t>
      </w:r>
      <w:r>
        <w:rPr>
          <w:spacing w:val="-21"/>
        </w:rPr>
        <w:t> </w:t>
      </w:r>
      <w:r>
        <w:rPr/>
        <w:t>tálamo</w:t>
      </w:r>
      <w:r>
        <w:rPr>
          <w:spacing w:val="-20"/>
        </w:rPr>
        <w:t> </w:t>
      </w:r>
      <w:r>
        <w:rPr/>
        <w:t>neo</w:t>
      </w:r>
      <w:r>
        <w:rPr>
          <w:spacing w:val="-20"/>
        </w:rPr>
        <w:t> </w:t>
      </w:r>
      <w:r>
        <w:rPr/>
        <w:t>cortical.</w:t>
      </w:r>
      <w:r>
        <w:rPr>
          <w:spacing w:val="-20"/>
        </w:rPr>
        <w:t> </w:t>
      </w:r>
      <w:r>
        <w:rPr/>
        <w:t>La</w:t>
      </w:r>
      <w:r>
        <w:rPr>
          <w:spacing w:val="-20"/>
        </w:rPr>
        <w:t> </w:t>
      </w:r>
      <w:r>
        <w:rPr/>
        <w:t>KET</w:t>
      </w:r>
      <w:r>
        <w:rPr>
          <w:spacing w:val="-22"/>
        </w:rPr>
        <w:t> </w:t>
      </w:r>
      <w:r>
        <w:rPr/>
        <w:t>deprime</w:t>
      </w:r>
      <w:r>
        <w:rPr>
          <w:spacing w:val="-21"/>
        </w:rPr>
        <w:t> </w:t>
      </w:r>
      <w:r>
        <w:rPr/>
        <w:t>selectivamente la</w:t>
      </w:r>
      <w:r>
        <w:rPr>
          <w:spacing w:val="-5"/>
        </w:rPr>
        <w:t> </w:t>
      </w:r>
      <w:r>
        <w:rPr/>
        <w:t>función</w:t>
      </w:r>
      <w:r>
        <w:rPr>
          <w:spacing w:val="-4"/>
        </w:rPr>
        <w:t> </w:t>
      </w:r>
      <w:r>
        <w:rPr/>
        <w:t>neuronal</w:t>
      </w:r>
      <w:r>
        <w:rPr>
          <w:spacing w:val="-5"/>
        </w:rPr>
        <w:t> </w:t>
      </w:r>
      <w:r>
        <w:rPr/>
        <w:t>en</w:t>
      </w:r>
      <w:r>
        <w:rPr>
          <w:spacing w:val="-4"/>
        </w:rPr>
        <w:t> </w:t>
      </w:r>
      <w:r>
        <w:rPr/>
        <w:t>partes</w:t>
      </w:r>
      <w:r>
        <w:rPr>
          <w:spacing w:val="-5"/>
        </w:rPr>
        <w:t> </w:t>
      </w:r>
      <w:r>
        <w:rPr/>
        <w:t>del</w:t>
      </w:r>
      <w:r>
        <w:rPr>
          <w:spacing w:val="-4"/>
        </w:rPr>
        <w:t> </w:t>
      </w:r>
      <w:r>
        <w:rPr/>
        <w:t>córtex</w:t>
      </w:r>
      <w:r>
        <w:rPr>
          <w:spacing w:val="-4"/>
        </w:rPr>
        <w:t> </w:t>
      </w:r>
      <w:r>
        <w:rPr/>
        <w:t>(sobre</w:t>
      </w:r>
      <w:r>
        <w:rPr>
          <w:spacing w:val="-5"/>
        </w:rPr>
        <w:t> </w:t>
      </w:r>
      <w:r>
        <w:rPr/>
        <w:t>todo</w:t>
      </w:r>
      <w:r>
        <w:rPr>
          <w:spacing w:val="-4"/>
        </w:rPr>
        <w:t> </w:t>
      </w:r>
      <w:r>
        <w:rPr/>
        <w:t>en</w:t>
      </w:r>
      <w:r>
        <w:rPr>
          <w:spacing w:val="-5"/>
        </w:rPr>
        <w:t> </w:t>
      </w:r>
      <w:r>
        <w:rPr/>
        <w:t>áreas</w:t>
      </w:r>
      <w:r>
        <w:rPr>
          <w:spacing w:val="-4"/>
        </w:rPr>
        <w:t> </w:t>
      </w:r>
      <w:r>
        <w:rPr/>
        <w:t>de asociación) y tálamo, mientras que al mismo tiempo, estimula partes</w:t>
      </w:r>
      <w:r>
        <w:rPr>
          <w:spacing w:val="-22"/>
        </w:rPr>
        <w:t> </w:t>
      </w:r>
      <w:r>
        <w:rPr/>
        <w:t>del</w:t>
      </w:r>
      <w:r>
        <w:rPr>
          <w:spacing w:val="-22"/>
        </w:rPr>
        <w:t> </w:t>
      </w:r>
      <w:r>
        <w:rPr/>
        <w:t>sistema</w:t>
      </w:r>
      <w:r>
        <w:rPr>
          <w:spacing w:val="-22"/>
        </w:rPr>
        <w:t> </w:t>
      </w:r>
      <w:r>
        <w:rPr/>
        <w:t>límbico,</w:t>
      </w:r>
      <w:r>
        <w:rPr>
          <w:spacing w:val="-21"/>
        </w:rPr>
        <w:t> </w:t>
      </w:r>
      <w:r>
        <w:rPr/>
        <w:t>incluyendo</w:t>
      </w:r>
      <w:r>
        <w:rPr>
          <w:spacing w:val="-22"/>
        </w:rPr>
        <w:t> </w:t>
      </w:r>
      <w:r>
        <w:rPr/>
        <w:t>el</w:t>
      </w:r>
      <w:r>
        <w:rPr>
          <w:spacing w:val="-22"/>
        </w:rPr>
        <w:t> </w:t>
      </w:r>
      <w:r>
        <w:rPr/>
        <w:t>hipocampo;</w:t>
      </w:r>
      <w:r>
        <w:rPr>
          <w:spacing w:val="-22"/>
        </w:rPr>
        <w:t> </w:t>
      </w:r>
      <w:r>
        <w:rPr/>
        <w:t>esto</w:t>
      </w:r>
      <w:r>
        <w:rPr>
          <w:spacing w:val="-21"/>
        </w:rPr>
        <w:t> </w:t>
      </w:r>
      <w:r>
        <w:rPr/>
        <w:t>crea</w:t>
      </w:r>
      <w:r>
        <w:rPr>
          <w:spacing w:val="-22"/>
        </w:rPr>
        <w:t> </w:t>
      </w:r>
      <w:r>
        <w:rPr/>
        <w:t>lo que</w:t>
      </w:r>
      <w:r>
        <w:rPr>
          <w:spacing w:val="-9"/>
        </w:rPr>
        <w:t> </w:t>
      </w:r>
      <w:r>
        <w:rPr/>
        <w:t>se</w:t>
      </w:r>
      <w:r>
        <w:rPr>
          <w:spacing w:val="-9"/>
        </w:rPr>
        <w:t> </w:t>
      </w:r>
      <w:r>
        <w:rPr/>
        <w:t>ha</w:t>
      </w:r>
      <w:r>
        <w:rPr>
          <w:spacing w:val="-9"/>
        </w:rPr>
        <w:t> </w:t>
      </w:r>
      <w:r>
        <w:rPr/>
        <w:t>denominado</w:t>
      </w:r>
      <w:r>
        <w:rPr>
          <w:spacing w:val="-8"/>
        </w:rPr>
        <w:t> </w:t>
      </w:r>
      <w:r>
        <w:rPr/>
        <w:t>una</w:t>
      </w:r>
      <w:r>
        <w:rPr>
          <w:spacing w:val="-9"/>
        </w:rPr>
        <w:t> </w:t>
      </w:r>
      <w:r>
        <w:rPr>
          <w:spacing w:val="-3"/>
        </w:rPr>
        <w:t>desorganización</w:t>
      </w:r>
      <w:r>
        <w:rPr>
          <w:spacing w:val="-9"/>
        </w:rPr>
        <w:t> </w:t>
      </w:r>
      <w:r>
        <w:rPr/>
        <w:t>funcional</w:t>
      </w:r>
      <w:r>
        <w:rPr>
          <w:spacing w:val="-9"/>
        </w:rPr>
        <w:t> </w:t>
      </w:r>
      <w:r>
        <w:rPr/>
        <w:t>de</w:t>
      </w:r>
      <w:r>
        <w:rPr>
          <w:spacing w:val="-8"/>
        </w:rPr>
        <w:t> </w:t>
      </w:r>
      <w:r>
        <w:rPr/>
        <w:t>vías</w:t>
      </w:r>
      <w:r>
        <w:rPr>
          <w:spacing w:val="-9"/>
        </w:rPr>
        <w:t> </w:t>
      </w:r>
      <w:r>
        <w:rPr/>
        <w:t>no específicas</w:t>
      </w:r>
      <w:r>
        <w:rPr>
          <w:spacing w:val="-7"/>
        </w:rPr>
        <w:t> </w:t>
      </w:r>
      <w:r>
        <w:rPr/>
        <w:t>en</w:t>
      </w:r>
      <w:r>
        <w:rPr>
          <w:spacing w:val="-6"/>
        </w:rPr>
        <w:t> </w:t>
      </w:r>
      <w:r>
        <w:rPr/>
        <w:t>el</w:t>
      </w:r>
      <w:r>
        <w:rPr>
          <w:spacing w:val="-6"/>
        </w:rPr>
        <w:t> </w:t>
      </w:r>
      <w:r>
        <w:rPr/>
        <w:t>mesencéfalo</w:t>
      </w:r>
      <w:r>
        <w:rPr>
          <w:spacing w:val="-6"/>
        </w:rPr>
        <w:t> </w:t>
      </w:r>
      <w:r>
        <w:rPr/>
        <w:t>y</w:t>
      </w:r>
      <w:r>
        <w:rPr>
          <w:spacing w:val="-6"/>
        </w:rPr>
        <w:t> </w:t>
      </w:r>
      <w:r>
        <w:rPr/>
        <w:t>áreas</w:t>
      </w:r>
      <w:r>
        <w:rPr>
          <w:spacing w:val="-7"/>
        </w:rPr>
        <w:t> </w:t>
      </w:r>
      <w:r>
        <w:rPr/>
        <w:t>talámicas.</w:t>
      </w:r>
      <w:r>
        <w:rPr>
          <w:spacing w:val="-8"/>
        </w:rPr>
        <w:t> </w:t>
      </w:r>
      <w:r>
        <w:rPr>
          <w:spacing w:val="-4"/>
        </w:rPr>
        <w:t>También</w:t>
      </w:r>
      <w:r>
        <w:rPr>
          <w:spacing w:val="-6"/>
        </w:rPr>
        <w:t> </w:t>
      </w:r>
      <w:r>
        <w:rPr>
          <w:spacing w:val="-2"/>
        </w:rPr>
        <w:t>existe </w:t>
      </w:r>
      <w:r>
        <w:rPr/>
        <w:t>evidencia en relación a que la KET deprime la transmisión de impulsos</w:t>
      </w:r>
      <w:r>
        <w:rPr>
          <w:spacing w:val="-22"/>
        </w:rPr>
        <w:t> </w:t>
      </w:r>
      <w:r>
        <w:rPr/>
        <w:t>en</w:t>
      </w:r>
      <w:r>
        <w:rPr>
          <w:spacing w:val="-21"/>
        </w:rPr>
        <w:t> </w:t>
      </w:r>
      <w:r>
        <w:rPr/>
        <w:t>la</w:t>
      </w:r>
      <w:r>
        <w:rPr>
          <w:spacing w:val="-21"/>
        </w:rPr>
        <w:t> </w:t>
      </w:r>
      <w:r>
        <w:rPr/>
        <w:t>formación</w:t>
      </w:r>
      <w:r>
        <w:rPr>
          <w:spacing w:val="-21"/>
        </w:rPr>
        <w:t> </w:t>
      </w:r>
      <w:r>
        <w:rPr/>
        <w:t>reticular</w:t>
      </w:r>
      <w:r>
        <w:rPr>
          <w:spacing w:val="-21"/>
        </w:rPr>
        <w:t> </w:t>
      </w:r>
      <w:r>
        <w:rPr/>
        <w:t>medular</w:t>
      </w:r>
      <w:r>
        <w:rPr>
          <w:spacing w:val="-21"/>
        </w:rPr>
        <w:t> </w:t>
      </w:r>
      <w:r>
        <w:rPr/>
        <w:t>media,</w:t>
      </w:r>
      <w:r>
        <w:rPr>
          <w:spacing w:val="-21"/>
        </w:rPr>
        <w:t> </w:t>
      </w:r>
      <w:r>
        <w:rPr/>
        <w:t>importante</w:t>
      </w:r>
      <w:r>
        <w:rPr>
          <w:spacing w:val="-21"/>
        </w:rPr>
        <w:t> </w:t>
      </w:r>
      <w:r>
        <w:rPr/>
        <w:t>en la transmisión de los componentes afectivos-emocionales de</w:t>
      </w:r>
      <w:r>
        <w:rPr>
          <w:spacing w:val="-20"/>
        </w:rPr>
        <w:t> </w:t>
      </w:r>
      <w:r>
        <w:rPr/>
        <w:t>la nocicepción,</w:t>
      </w:r>
      <w:r>
        <w:rPr>
          <w:spacing w:val="-23"/>
        </w:rPr>
        <w:t> </w:t>
      </w:r>
      <w:r>
        <w:rPr/>
        <w:t>desde</w:t>
      </w:r>
      <w:r>
        <w:rPr>
          <w:spacing w:val="-22"/>
        </w:rPr>
        <w:t> </w:t>
      </w:r>
      <w:r>
        <w:rPr/>
        <w:t>la</w:t>
      </w:r>
      <w:r>
        <w:rPr>
          <w:spacing w:val="-23"/>
        </w:rPr>
        <w:t> </w:t>
      </w:r>
      <w:r>
        <w:rPr/>
        <w:t>médula</w:t>
      </w:r>
      <w:r>
        <w:rPr>
          <w:spacing w:val="-22"/>
        </w:rPr>
        <w:t> </w:t>
      </w:r>
      <w:r>
        <w:rPr/>
        <w:t>espinal</w:t>
      </w:r>
      <w:r>
        <w:rPr>
          <w:spacing w:val="-22"/>
        </w:rPr>
        <w:t> </w:t>
      </w:r>
      <w:r>
        <w:rPr/>
        <w:t>hasta</w:t>
      </w:r>
      <w:r>
        <w:rPr>
          <w:spacing w:val="-23"/>
        </w:rPr>
        <w:t> </w:t>
      </w:r>
      <w:r>
        <w:rPr/>
        <w:t>los</w:t>
      </w:r>
      <w:r>
        <w:rPr>
          <w:spacing w:val="-22"/>
        </w:rPr>
        <w:t> </w:t>
      </w:r>
      <w:r>
        <w:rPr/>
        <w:t>centros</w:t>
      </w:r>
      <w:r>
        <w:rPr>
          <w:spacing w:val="-22"/>
        </w:rPr>
        <w:t> </w:t>
      </w:r>
      <w:r>
        <w:rPr/>
        <w:t>cerebrales superiores (3). De ahí que al hablar de “anestesia </w:t>
      </w:r>
      <w:r>
        <w:rPr>
          <w:spacing w:val="-2"/>
        </w:rPr>
        <w:t>disociativa” </w:t>
      </w:r>
      <w:r>
        <w:rPr/>
        <w:t>producida</w:t>
      </w:r>
      <w:r>
        <w:rPr>
          <w:spacing w:val="-20"/>
        </w:rPr>
        <w:t> </w:t>
      </w:r>
      <w:r>
        <w:rPr/>
        <w:t>por</w:t>
      </w:r>
      <w:r>
        <w:rPr>
          <w:spacing w:val="-20"/>
        </w:rPr>
        <w:t> </w:t>
      </w:r>
      <w:r>
        <w:rPr/>
        <w:t>la</w:t>
      </w:r>
      <w:r>
        <w:rPr>
          <w:spacing w:val="-20"/>
        </w:rPr>
        <w:t> </w:t>
      </w:r>
      <w:r>
        <w:rPr>
          <w:spacing w:val="-5"/>
        </w:rPr>
        <w:t>KET,</w:t>
      </w:r>
      <w:r>
        <w:rPr>
          <w:spacing w:val="-20"/>
        </w:rPr>
        <w:t> </w:t>
      </w:r>
      <w:r>
        <w:rPr/>
        <w:t>se</w:t>
      </w:r>
      <w:r>
        <w:rPr>
          <w:spacing w:val="-20"/>
        </w:rPr>
        <w:t> </w:t>
      </w:r>
      <w:r>
        <w:rPr/>
        <w:t>esté</w:t>
      </w:r>
      <w:r>
        <w:rPr>
          <w:spacing w:val="-20"/>
        </w:rPr>
        <w:t> </w:t>
      </w:r>
      <w:r>
        <w:rPr/>
        <w:t>haciendo</w:t>
      </w:r>
      <w:r>
        <w:rPr>
          <w:spacing w:val="-20"/>
        </w:rPr>
        <w:t> </w:t>
      </w:r>
      <w:r>
        <w:rPr/>
        <w:t>referencia</w:t>
      </w:r>
      <w:r>
        <w:rPr>
          <w:spacing w:val="-20"/>
        </w:rPr>
        <w:t> </w:t>
      </w:r>
      <w:r>
        <w:rPr/>
        <w:t>a</w:t>
      </w:r>
      <w:r>
        <w:rPr>
          <w:spacing w:val="-20"/>
        </w:rPr>
        <w:t> </w:t>
      </w:r>
      <w:r>
        <w:rPr/>
        <w:t>dos</w:t>
      </w:r>
      <w:r>
        <w:rPr>
          <w:spacing w:val="-20"/>
        </w:rPr>
        <w:t> </w:t>
      </w:r>
      <w:r>
        <w:rPr/>
        <w:t>aspectos:</w:t>
      </w:r>
    </w:p>
    <w:p>
      <w:pPr>
        <w:pStyle w:val="BodyText"/>
        <w:spacing w:line="225" w:lineRule="auto" w:before="3"/>
        <w:ind w:left="113" w:right="46"/>
        <w:jc w:val="both"/>
      </w:pPr>
      <w:r>
        <w:rPr/>
        <w:t>i) por un lado, al sentido clínico de la disociación del paciente con el medio, diferente al de otros anestésicos </w:t>
      </w:r>
      <w:r>
        <w:rPr>
          <w:spacing w:val="-7"/>
        </w:rPr>
        <w:t>y,  </w:t>
      </w:r>
      <w:r>
        <w:rPr/>
        <w:t>ii) por otro,  a la disociación electrofisiológica entre el tálamo y el sistema límbico (4). Hay evidencia de que la KET ocupa los</w:t>
      </w:r>
      <w:r>
        <w:rPr>
          <w:spacing w:val="-32"/>
        </w:rPr>
        <w:t> </w:t>
      </w:r>
      <w:r>
        <w:rPr/>
        <w:t>receptores opioides</w:t>
      </w:r>
      <w:r>
        <w:rPr>
          <w:spacing w:val="-11"/>
        </w:rPr>
        <w:t> </w:t>
      </w:r>
      <w:r>
        <w:rPr/>
        <w:t>en</w:t>
      </w:r>
      <w:r>
        <w:rPr>
          <w:spacing w:val="-11"/>
        </w:rPr>
        <w:t> </w:t>
      </w:r>
      <w:r>
        <w:rPr/>
        <w:t>el</w:t>
      </w:r>
      <w:r>
        <w:rPr>
          <w:spacing w:val="-10"/>
        </w:rPr>
        <w:t> </w:t>
      </w:r>
      <w:r>
        <w:rPr/>
        <w:t>cerebro</w:t>
      </w:r>
      <w:r>
        <w:rPr>
          <w:spacing w:val="-11"/>
        </w:rPr>
        <w:t> </w:t>
      </w:r>
      <w:r>
        <w:rPr/>
        <w:t>y</w:t>
      </w:r>
      <w:r>
        <w:rPr>
          <w:spacing w:val="-10"/>
        </w:rPr>
        <w:t> </w:t>
      </w:r>
      <w:r>
        <w:rPr/>
        <w:t>en</w:t>
      </w:r>
      <w:r>
        <w:rPr>
          <w:spacing w:val="-11"/>
        </w:rPr>
        <w:t> </w:t>
      </w:r>
      <w:r>
        <w:rPr/>
        <w:t>la</w:t>
      </w:r>
      <w:r>
        <w:rPr>
          <w:spacing w:val="-10"/>
        </w:rPr>
        <w:t> </w:t>
      </w:r>
      <w:r>
        <w:rPr/>
        <w:t>médula</w:t>
      </w:r>
      <w:r>
        <w:rPr>
          <w:spacing w:val="-11"/>
        </w:rPr>
        <w:t> </w:t>
      </w:r>
      <w:r>
        <w:rPr/>
        <w:t>espinal</w:t>
      </w:r>
      <w:r>
        <w:rPr>
          <w:spacing w:val="-10"/>
        </w:rPr>
        <w:t> </w:t>
      </w:r>
      <w:r>
        <w:rPr/>
        <w:t>(5),</w:t>
      </w:r>
      <w:r>
        <w:rPr>
          <w:spacing w:val="-11"/>
        </w:rPr>
        <w:t> </w:t>
      </w:r>
      <w:r>
        <w:rPr/>
        <w:t>lo</w:t>
      </w:r>
      <w:r>
        <w:rPr>
          <w:spacing w:val="-10"/>
        </w:rPr>
        <w:t> </w:t>
      </w:r>
      <w:r>
        <w:rPr/>
        <w:t>que</w:t>
      </w:r>
      <w:r>
        <w:rPr>
          <w:spacing w:val="-11"/>
        </w:rPr>
        <w:t> </w:t>
      </w:r>
      <w:r>
        <w:rPr/>
        <w:t>pudiese explicar algunos de sus efectos analgésicos. Así mismo, se ha demostrado que el enantiómero S de la KET tiene actividad sobre el receptor mu (µ), de ahí, entonces, parte de su </w:t>
      </w:r>
      <w:r>
        <w:rPr>
          <w:spacing w:val="-2"/>
        </w:rPr>
        <w:t>efecto </w:t>
      </w:r>
      <w:r>
        <w:rPr/>
        <w:t>analgésico (6). La interacción con el receptor NMDA</w:t>
      </w:r>
      <w:r>
        <w:rPr>
          <w:spacing w:val="-22"/>
        </w:rPr>
        <w:t> </w:t>
      </w:r>
      <w:r>
        <w:rPr/>
        <w:t>mediaría la</w:t>
      </w:r>
      <w:r>
        <w:rPr>
          <w:spacing w:val="-17"/>
        </w:rPr>
        <w:t> </w:t>
      </w:r>
      <w:r>
        <w:rPr/>
        <w:t>acción</w:t>
      </w:r>
      <w:r>
        <w:rPr>
          <w:spacing w:val="-17"/>
        </w:rPr>
        <w:t> </w:t>
      </w:r>
      <w:r>
        <w:rPr/>
        <w:t>anestésica</w:t>
      </w:r>
      <w:r>
        <w:rPr>
          <w:spacing w:val="-17"/>
        </w:rPr>
        <w:t> </w:t>
      </w:r>
      <w:r>
        <w:rPr/>
        <w:t>general,</w:t>
      </w:r>
      <w:r>
        <w:rPr>
          <w:spacing w:val="-17"/>
        </w:rPr>
        <w:t> </w:t>
      </w:r>
      <w:r>
        <w:rPr/>
        <w:t>al</w:t>
      </w:r>
      <w:r>
        <w:rPr>
          <w:spacing w:val="-16"/>
        </w:rPr>
        <w:t> </w:t>
      </w:r>
      <w:r>
        <w:rPr/>
        <w:t>igual</w:t>
      </w:r>
      <w:r>
        <w:rPr>
          <w:spacing w:val="-17"/>
        </w:rPr>
        <w:t> </w:t>
      </w:r>
      <w:r>
        <w:rPr/>
        <w:t>que</w:t>
      </w:r>
      <w:r>
        <w:rPr>
          <w:spacing w:val="-17"/>
        </w:rPr>
        <w:t> </w:t>
      </w:r>
      <w:r>
        <w:rPr/>
        <w:t>algunas</w:t>
      </w:r>
      <w:r>
        <w:rPr>
          <w:spacing w:val="-17"/>
        </w:rPr>
        <w:t> </w:t>
      </w:r>
      <w:r>
        <w:rPr/>
        <w:t>de</w:t>
      </w:r>
      <w:r>
        <w:rPr>
          <w:spacing w:val="-17"/>
        </w:rPr>
        <w:t> </w:t>
      </w:r>
      <w:r>
        <w:rPr/>
        <w:t>sus</w:t>
      </w:r>
      <w:r>
        <w:rPr>
          <w:spacing w:val="-16"/>
        </w:rPr>
        <w:t> </w:t>
      </w:r>
      <w:r>
        <w:rPr/>
        <w:t>acciones analgésicas.</w:t>
      </w:r>
      <w:r>
        <w:rPr>
          <w:spacing w:val="-19"/>
        </w:rPr>
        <w:t> </w:t>
      </w:r>
      <w:r>
        <w:rPr/>
        <w:t>El</w:t>
      </w:r>
      <w:r>
        <w:rPr>
          <w:spacing w:val="-19"/>
        </w:rPr>
        <w:t> </w:t>
      </w:r>
      <w:r>
        <w:rPr/>
        <w:t>efecto</w:t>
      </w:r>
      <w:r>
        <w:rPr>
          <w:spacing w:val="-19"/>
        </w:rPr>
        <w:t> </w:t>
      </w:r>
      <w:r>
        <w:rPr/>
        <w:t>analgésico</w:t>
      </w:r>
      <w:r>
        <w:rPr>
          <w:spacing w:val="-19"/>
        </w:rPr>
        <w:t> </w:t>
      </w:r>
      <w:r>
        <w:rPr/>
        <w:t>a</w:t>
      </w:r>
      <w:r>
        <w:rPr>
          <w:spacing w:val="-19"/>
        </w:rPr>
        <w:t> </w:t>
      </w:r>
      <w:r>
        <w:rPr/>
        <w:t>nivel</w:t>
      </w:r>
      <w:r>
        <w:rPr>
          <w:spacing w:val="-19"/>
        </w:rPr>
        <w:t> </w:t>
      </w:r>
      <w:r>
        <w:rPr/>
        <w:t>espinal</w:t>
      </w:r>
      <w:r>
        <w:rPr>
          <w:spacing w:val="-19"/>
        </w:rPr>
        <w:t> </w:t>
      </w:r>
      <w:r>
        <w:rPr/>
        <w:t>parece</w:t>
      </w:r>
      <w:r>
        <w:rPr>
          <w:spacing w:val="-19"/>
        </w:rPr>
        <w:t> </w:t>
      </w:r>
      <w:r>
        <w:rPr/>
        <w:t>deberse</w:t>
      </w:r>
      <w:r>
        <w:rPr>
          <w:spacing w:val="-19"/>
        </w:rPr>
        <w:t> </w:t>
      </w:r>
      <w:r>
        <w:rPr/>
        <w:t>a una</w:t>
      </w:r>
      <w:r>
        <w:rPr>
          <w:spacing w:val="-8"/>
        </w:rPr>
        <w:t> </w:t>
      </w:r>
      <w:r>
        <w:rPr/>
        <w:t>inhibición</w:t>
      </w:r>
      <w:r>
        <w:rPr>
          <w:spacing w:val="-7"/>
        </w:rPr>
        <w:t> </w:t>
      </w:r>
      <w:r>
        <w:rPr/>
        <w:t>de</w:t>
      </w:r>
      <w:r>
        <w:rPr>
          <w:spacing w:val="-7"/>
        </w:rPr>
        <w:t> </w:t>
      </w:r>
      <w:r>
        <w:rPr/>
        <w:t>la</w:t>
      </w:r>
      <w:r>
        <w:rPr>
          <w:spacing w:val="-7"/>
        </w:rPr>
        <w:t> </w:t>
      </w:r>
      <w:r>
        <w:rPr/>
        <w:t>actividad</w:t>
      </w:r>
      <w:r>
        <w:rPr>
          <w:spacing w:val="-7"/>
        </w:rPr>
        <w:t> </w:t>
      </w:r>
      <w:r>
        <w:rPr/>
        <w:t>neuronal</w:t>
      </w:r>
      <w:r>
        <w:rPr>
          <w:spacing w:val="-8"/>
        </w:rPr>
        <w:t> </w:t>
      </w:r>
      <w:r>
        <w:rPr/>
        <w:t>del</w:t>
      </w:r>
      <w:r>
        <w:rPr>
          <w:spacing w:val="-7"/>
        </w:rPr>
        <w:t> </w:t>
      </w:r>
      <w:r>
        <w:rPr/>
        <w:t>asta</w:t>
      </w:r>
      <w:r>
        <w:rPr>
          <w:spacing w:val="-7"/>
        </w:rPr>
        <w:t> </w:t>
      </w:r>
      <w:r>
        <w:rPr/>
        <w:t>dorsal.</w:t>
      </w:r>
    </w:p>
    <w:p>
      <w:pPr>
        <w:pStyle w:val="Heading1"/>
        <w:spacing w:before="135"/>
        <w:jc w:val="both"/>
      </w:pPr>
      <w:r>
        <w:rPr/>
        <w:t>Ketamina y Tratamiento del Dolor</w:t>
      </w:r>
    </w:p>
    <w:p>
      <w:pPr>
        <w:pStyle w:val="BodyText"/>
        <w:spacing w:line="225" w:lineRule="auto"/>
        <w:ind w:left="113" w:right="46"/>
        <w:jc w:val="both"/>
      </w:pPr>
      <w:r>
        <w:rPr/>
        <w:t>El SNC desempeña un papel crucial en la percepción del</w:t>
      </w:r>
      <w:r>
        <w:rPr>
          <w:spacing w:val="-25"/>
        </w:rPr>
        <w:t> </w:t>
      </w:r>
      <w:r>
        <w:rPr>
          <w:spacing w:val="-4"/>
        </w:rPr>
        <w:t>dolor. </w:t>
      </w:r>
      <w:r>
        <w:rPr/>
        <w:t>El dolor es una experiencia compleja que va más allá de la transducción de estímulos nocivos, pues posee dimensiones sensoriales/discriminativas y emocionales/afectivas. El dolor es definido como una experiencia subjetiva, y por ende, su medición objetiva es difícil y poco frecuente. La analgesia    se define de un modo muy simple, como la reducción de este fenómeno subjetivo</w:t>
      </w:r>
      <w:r>
        <w:rPr>
          <w:spacing w:val="-10"/>
        </w:rPr>
        <w:t> </w:t>
      </w:r>
      <w:r>
        <w:rPr/>
        <w:t>(7).</w:t>
      </w:r>
    </w:p>
    <w:p>
      <w:pPr>
        <w:pStyle w:val="BodyText"/>
        <w:spacing w:line="225" w:lineRule="auto"/>
        <w:ind w:left="113" w:right="48"/>
        <w:jc w:val="both"/>
      </w:pPr>
      <w:r>
        <w:rPr/>
        <w:t>Las imágenes poseen un potencial interesante para diferenciar esta subjetividad y pueden medir objetivamente el proceso nociceptivo en el cerebro. La tomografía por emisión de</w:t>
      </w:r>
    </w:p>
    <w:p>
      <w:pPr>
        <w:pStyle w:val="BodyText"/>
        <w:spacing w:before="6"/>
        <w:rPr>
          <w:sz w:val="21"/>
        </w:rPr>
      </w:pPr>
      <w:r>
        <w:rPr/>
        <w:br w:type="column"/>
      </w:r>
      <w:r>
        <w:rPr>
          <w:sz w:val="21"/>
        </w:rPr>
      </w:r>
    </w:p>
    <w:p>
      <w:pPr>
        <w:pStyle w:val="BodyText"/>
        <w:spacing w:line="225" w:lineRule="auto" w:before="1"/>
        <w:ind w:left="113" w:right="110"/>
        <w:jc w:val="both"/>
      </w:pPr>
      <w:r>
        <w:rPr/>
        <w:t>positrones (PET) y la resonancia nuclear magnética funcional (RNMf) han sido utilizadas para diseñar una “plantilla </w:t>
      </w:r>
      <w:r>
        <w:rPr>
          <w:spacing w:val="-2"/>
        </w:rPr>
        <w:t>del </w:t>
      </w:r>
      <w:r>
        <w:rPr/>
        <w:t>dolor”; es </w:t>
      </w:r>
      <w:r>
        <w:rPr>
          <w:spacing w:val="-3"/>
        </w:rPr>
        <w:t>decir, </w:t>
      </w:r>
      <w:r>
        <w:rPr/>
        <w:t>una verdadera red de localizaciones en el cerebro,</w:t>
      </w:r>
      <w:r>
        <w:rPr>
          <w:spacing w:val="-20"/>
        </w:rPr>
        <w:t> </w:t>
      </w:r>
      <w:r>
        <w:rPr/>
        <w:t>las</w:t>
      </w:r>
      <w:r>
        <w:rPr>
          <w:spacing w:val="-20"/>
        </w:rPr>
        <w:t> </w:t>
      </w:r>
      <w:r>
        <w:rPr/>
        <w:t>que</w:t>
      </w:r>
      <w:r>
        <w:rPr>
          <w:spacing w:val="-20"/>
        </w:rPr>
        <w:t> </w:t>
      </w:r>
      <w:r>
        <w:rPr/>
        <w:t>se</w:t>
      </w:r>
      <w:r>
        <w:rPr>
          <w:spacing w:val="-20"/>
        </w:rPr>
        <w:t> </w:t>
      </w:r>
      <w:r>
        <w:rPr/>
        <w:t>activan</w:t>
      </w:r>
      <w:r>
        <w:rPr>
          <w:spacing w:val="-20"/>
        </w:rPr>
        <w:t> </w:t>
      </w:r>
      <w:r>
        <w:rPr/>
        <w:t>en</w:t>
      </w:r>
      <w:r>
        <w:rPr>
          <w:spacing w:val="-20"/>
        </w:rPr>
        <w:t> </w:t>
      </w:r>
      <w:r>
        <w:rPr/>
        <w:t>respuesta</w:t>
      </w:r>
      <w:r>
        <w:rPr>
          <w:spacing w:val="-20"/>
        </w:rPr>
        <w:t> </w:t>
      </w:r>
      <w:r>
        <w:rPr/>
        <w:t>a</w:t>
      </w:r>
      <w:r>
        <w:rPr>
          <w:spacing w:val="-20"/>
        </w:rPr>
        <w:t> </w:t>
      </w:r>
      <w:r>
        <w:rPr/>
        <w:t>estímulos</w:t>
      </w:r>
      <w:r>
        <w:rPr>
          <w:spacing w:val="-20"/>
        </w:rPr>
        <w:t> </w:t>
      </w:r>
      <w:r>
        <w:rPr/>
        <w:t>nociceptivos. Estos</w:t>
      </w:r>
      <w:r>
        <w:rPr>
          <w:spacing w:val="-14"/>
        </w:rPr>
        <w:t> </w:t>
      </w:r>
      <w:r>
        <w:rPr/>
        <w:t>estudios</w:t>
      </w:r>
      <w:r>
        <w:rPr>
          <w:spacing w:val="-14"/>
        </w:rPr>
        <w:t> </w:t>
      </w:r>
      <w:r>
        <w:rPr/>
        <w:t>han</w:t>
      </w:r>
      <w:r>
        <w:rPr>
          <w:spacing w:val="-13"/>
        </w:rPr>
        <w:t> </w:t>
      </w:r>
      <w:r>
        <w:rPr/>
        <w:t>confirmado</w:t>
      </w:r>
      <w:r>
        <w:rPr>
          <w:spacing w:val="-14"/>
        </w:rPr>
        <w:t> </w:t>
      </w:r>
      <w:r>
        <w:rPr/>
        <w:t>que</w:t>
      </w:r>
      <w:r>
        <w:rPr>
          <w:spacing w:val="-13"/>
        </w:rPr>
        <w:t> </w:t>
      </w:r>
      <w:r>
        <w:rPr/>
        <w:t>las</w:t>
      </w:r>
      <w:r>
        <w:rPr>
          <w:spacing w:val="-14"/>
        </w:rPr>
        <w:t> </w:t>
      </w:r>
      <w:r>
        <w:rPr/>
        <w:t>zonas</w:t>
      </w:r>
      <w:r>
        <w:rPr>
          <w:spacing w:val="-13"/>
        </w:rPr>
        <w:t> </w:t>
      </w:r>
      <w:r>
        <w:rPr/>
        <w:t>más</w:t>
      </w:r>
      <w:r>
        <w:rPr>
          <w:spacing w:val="-14"/>
        </w:rPr>
        <w:t> </w:t>
      </w:r>
      <w:r>
        <w:rPr/>
        <w:t>habitualmente estimuladas residen en el tálamo, corteza II/ínsula, corteza anterior cingulada y corteza sensorial primaria. Se ha </w:t>
      </w:r>
      <w:r>
        <w:rPr>
          <w:spacing w:val="-2"/>
        </w:rPr>
        <w:t>podido </w:t>
      </w:r>
      <w:r>
        <w:rPr/>
        <w:t>comprobar</w:t>
      </w:r>
      <w:r>
        <w:rPr>
          <w:spacing w:val="-5"/>
        </w:rPr>
        <w:t> </w:t>
      </w:r>
      <w:r>
        <w:rPr/>
        <w:t>que</w:t>
      </w:r>
      <w:r>
        <w:rPr>
          <w:spacing w:val="-6"/>
        </w:rPr>
        <w:t> </w:t>
      </w:r>
      <w:r>
        <w:rPr/>
        <w:t>la</w:t>
      </w:r>
      <w:r>
        <w:rPr>
          <w:spacing w:val="-5"/>
        </w:rPr>
        <w:t> </w:t>
      </w:r>
      <w:r>
        <w:rPr/>
        <w:t>KET</w:t>
      </w:r>
      <w:r>
        <w:rPr>
          <w:spacing w:val="-9"/>
        </w:rPr>
        <w:t> </w:t>
      </w:r>
      <w:r>
        <w:rPr/>
        <w:t>posee</w:t>
      </w:r>
      <w:r>
        <w:rPr>
          <w:spacing w:val="-5"/>
        </w:rPr>
        <w:t> </w:t>
      </w:r>
      <w:r>
        <w:rPr/>
        <w:t>un</w:t>
      </w:r>
      <w:r>
        <w:rPr>
          <w:spacing w:val="-6"/>
        </w:rPr>
        <w:t> </w:t>
      </w:r>
      <w:r>
        <w:rPr/>
        <w:t>efecto</w:t>
      </w:r>
      <w:r>
        <w:rPr>
          <w:spacing w:val="-5"/>
        </w:rPr>
        <w:t> </w:t>
      </w:r>
      <w:r>
        <w:rPr/>
        <w:t>analgésico</w:t>
      </w:r>
      <w:r>
        <w:rPr>
          <w:spacing w:val="-5"/>
        </w:rPr>
        <w:t> </w:t>
      </w:r>
      <w:r>
        <w:rPr/>
        <w:t>en</w:t>
      </w:r>
      <w:r>
        <w:rPr>
          <w:spacing w:val="-5"/>
        </w:rPr>
        <w:t> </w:t>
      </w:r>
      <w:r>
        <w:rPr/>
        <w:t>múltiples localizaciones del SNC, no sólo a nivel cortical sino también a nivel de médula espinal</w:t>
      </w:r>
      <w:r>
        <w:rPr>
          <w:spacing w:val="-19"/>
        </w:rPr>
        <w:t> </w:t>
      </w:r>
      <w:r>
        <w:rPr/>
        <w:t>(8).</w:t>
      </w:r>
    </w:p>
    <w:p>
      <w:pPr>
        <w:pStyle w:val="BodyText"/>
        <w:spacing w:line="225" w:lineRule="auto" w:before="3"/>
        <w:ind w:left="113" w:right="111"/>
        <w:jc w:val="both"/>
      </w:pPr>
      <w:r>
        <w:rPr/>
        <w:t>Las imágenes correspondientes a ambas localizaciones, cerebro y médula, deben ser separadas para poder discriminar la contribución relativa de los efectos de la KET sobre </w:t>
      </w:r>
      <w:r>
        <w:rPr>
          <w:spacing w:val="-2"/>
        </w:rPr>
        <w:t>las </w:t>
      </w:r>
      <w:r>
        <w:rPr/>
        <w:t>diferentes</w:t>
      </w:r>
      <w:r>
        <w:rPr>
          <w:spacing w:val="-20"/>
        </w:rPr>
        <w:t> </w:t>
      </w:r>
      <w:r>
        <w:rPr/>
        <w:t>localizaciones.</w:t>
      </w:r>
      <w:r>
        <w:rPr>
          <w:spacing w:val="-19"/>
        </w:rPr>
        <w:t> </w:t>
      </w:r>
      <w:r>
        <w:rPr/>
        <w:t>Sin</w:t>
      </w:r>
      <w:r>
        <w:rPr>
          <w:spacing w:val="-20"/>
        </w:rPr>
        <w:t> </w:t>
      </w:r>
      <w:r>
        <w:rPr>
          <w:spacing w:val="-3"/>
        </w:rPr>
        <w:t>embargo,</w:t>
      </w:r>
      <w:r>
        <w:rPr>
          <w:spacing w:val="-19"/>
        </w:rPr>
        <w:t> </w:t>
      </w:r>
      <w:r>
        <w:rPr/>
        <w:t>parece</w:t>
      </w:r>
      <w:r>
        <w:rPr>
          <w:spacing w:val="-19"/>
        </w:rPr>
        <w:t> </w:t>
      </w:r>
      <w:r>
        <w:rPr/>
        <w:t>claro</w:t>
      </w:r>
      <w:r>
        <w:rPr>
          <w:spacing w:val="-20"/>
        </w:rPr>
        <w:t> </w:t>
      </w:r>
      <w:r>
        <w:rPr/>
        <w:t>que</w:t>
      </w:r>
      <w:r>
        <w:rPr>
          <w:spacing w:val="-19"/>
        </w:rPr>
        <w:t> </w:t>
      </w:r>
      <w:r>
        <w:rPr/>
        <w:t>amplios y</w:t>
      </w:r>
      <w:r>
        <w:rPr>
          <w:spacing w:val="-6"/>
        </w:rPr>
        <w:t> </w:t>
      </w:r>
      <w:r>
        <w:rPr/>
        <w:t>medibles</w:t>
      </w:r>
      <w:r>
        <w:rPr>
          <w:spacing w:val="-6"/>
        </w:rPr>
        <w:t> </w:t>
      </w:r>
      <w:r>
        <w:rPr/>
        <w:t>descensos</w:t>
      </w:r>
      <w:r>
        <w:rPr>
          <w:spacing w:val="-6"/>
        </w:rPr>
        <w:t> </w:t>
      </w:r>
      <w:r>
        <w:rPr/>
        <w:t>en</w:t>
      </w:r>
      <w:r>
        <w:rPr>
          <w:spacing w:val="-6"/>
        </w:rPr>
        <w:t> </w:t>
      </w:r>
      <w:r>
        <w:rPr/>
        <w:t>la</w:t>
      </w:r>
      <w:r>
        <w:rPr>
          <w:spacing w:val="-6"/>
        </w:rPr>
        <w:t> </w:t>
      </w:r>
      <w:r>
        <w:rPr/>
        <w:t>activación</w:t>
      </w:r>
      <w:r>
        <w:rPr>
          <w:spacing w:val="-6"/>
        </w:rPr>
        <w:t> </w:t>
      </w:r>
      <w:r>
        <w:rPr/>
        <w:t>ante</w:t>
      </w:r>
      <w:r>
        <w:rPr>
          <w:spacing w:val="-5"/>
        </w:rPr>
        <w:t> </w:t>
      </w:r>
      <w:r>
        <w:rPr/>
        <w:t>estímulos</w:t>
      </w:r>
      <w:r>
        <w:rPr>
          <w:spacing w:val="-6"/>
        </w:rPr>
        <w:t> </w:t>
      </w:r>
      <w:r>
        <w:rPr/>
        <w:t>dolorosos acontecen en el cerebro y son variables, cuando examinamos diversas localizaciones donde se procesa el estímulo, lo cual no puede ser explicado solamente por una reducción en </w:t>
      </w:r>
      <w:r>
        <w:rPr>
          <w:spacing w:val="-2"/>
        </w:rPr>
        <w:t>las </w:t>
      </w:r>
      <w:r>
        <w:rPr/>
        <w:t>aferencias procedentes de la médula</w:t>
      </w:r>
      <w:r>
        <w:rPr>
          <w:spacing w:val="-29"/>
        </w:rPr>
        <w:t> </w:t>
      </w:r>
      <w:r>
        <w:rPr/>
        <w:t>espinal.</w:t>
      </w:r>
    </w:p>
    <w:p>
      <w:pPr>
        <w:pStyle w:val="BodyText"/>
        <w:spacing w:before="4"/>
        <w:rPr>
          <w:sz w:val="17"/>
        </w:rPr>
      </w:pPr>
    </w:p>
    <w:p>
      <w:pPr>
        <w:pStyle w:val="Heading1"/>
        <w:spacing w:line="170" w:lineRule="auto" w:before="0"/>
        <w:ind w:right="113"/>
        <w:jc w:val="both"/>
      </w:pPr>
      <w:r>
        <w:rPr>
          <w:spacing w:val="-3"/>
        </w:rPr>
        <w:t>Ketamina </w:t>
      </w:r>
      <w:r>
        <w:rPr/>
        <w:t>en el </w:t>
      </w:r>
      <w:r>
        <w:rPr>
          <w:spacing w:val="-3"/>
        </w:rPr>
        <w:t>Dolor Agudo Postoperatorio: Evidencia</w:t>
      </w:r>
    </w:p>
    <w:p>
      <w:pPr>
        <w:pStyle w:val="BodyText"/>
        <w:spacing w:line="225" w:lineRule="auto"/>
        <w:ind w:left="113" w:right="109"/>
        <w:jc w:val="both"/>
      </w:pPr>
      <w:r>
        <w:rPr/>
        <w:t>Los</w:t>
      </w:r>
      <w:r>
        <w:rPr>
          <w:spacing w:val="-32"/>
        </w:rPr>
        <w:t> </w:t>
      </w:r>
      <w:r>
        <w:rPr/>
        <w:t>efectos</w:t>
      </w:r>
      <w:r>
        <w:rPr>
          <w:spacing w:val="-31"/>
        </w:rPr>
        <w:t> </w:t>
      </w:r>
      <w:r>
        <w:rPr/>
        <w:t>de</w:t>
      </w:r>
      <w:r>
        <w:rPr>
          <w:spacing w:val="-31"/>
        </w:rPr>
        <w:t> </w:t>
      </w:r>
      <w:r>
        <w:rPr/>
        <w:t>la</w:t>
      </w:r>
      <w:r>
        <w:rPr>
          <w:spacing w:val="-31"/>
        </w:rPr>
        <w:t> </w:t>
      </w:r>
      <w:r>
        <w:rPr/>
        <w:t>KET</w:t>
      </w:r>
      <w:r>
        <w:rPr>
          <w:spacing w:val="-34"/>
        </w:rPr>
        <w:t> </w:t>
      </w:r>
      <w:r>
        <w:rPr/>
        <w:t>sobre</w:t>
      </w:r>
      <w:r>
        <w:rPr>
          <w:spacing w:val="-31"/>
        </w:rPr>
        <w:t> </w:t>
      </w:r>
      <w:r>
        <w:rPr/>
        <w:t>el</w:t>
      </w:r>
      <w:r>
        <w:rPr>
          <w:spacing w:val="-32"/>
        </w:rPr>
        <w:t> </w:t>
      </w:r>
      <w:r>
        <w:rPr/>
        <w:t>DAPO</w:t>
      </w:r>
      <w:r>
        <w:rPr>
          <w:spacing w:val="-31"/>
        </w:rPr>
        <w:t> </w:t>
      </w:r>
      <w:r>
        <w:rPr/>
        <w:t>y</w:t>
      </w:r>
      <w:r>
        <w:rPr>
          <w:spacing w:val="-31"/>
        </w:rPr>
        <w:t> </w:t>
      </w:r>
      <w:r>
        <w:rPr/>
        <w:t>la</w:t>
      </w:r>
      <w:r>
        <w:rPr>
          <w:spacing w:val="-31"/>
        </w:rPr>
        <w:t> </w:t>
      </w:r>
      <w:r>
        <w:rPr/>
        <w:t>analgesia</w:t>
      </w:r>
      <w:r>
        <w:rPr>
          <w:spacing w:val="-31"/>
        </w:rPr>
        <w:t> </w:t>
      </w:r>
      <w:r>
        <w:rPr/>
        <w:t>postoperatoria han sido evaluados en muchos estudios aleatorizados y controlados,</w:t>
      </w:r>
      <w:r>
        <w:rPr>
          <w:spacing w:val="-26"/>
        </w:rPr>
        <w:t> </w:t>
      </w:r>
      <w:r>
        <w:rPr/>
        <w:t>como</w:t>
      </w:r>
      <w:r>
        <w:rPr>
          <w:spacing w:val="-26"/>
        </w:rPr>
        <w:t> </w:t>
      </w:r>
      <w:r>
        <w:rPr/>
        <w:t>también,</w:t>
      </w:r>
      <w:r>
        <w:rPr>
          <w:spacing w:val="-26"/>
        </w:rPr>
        <w:t> </w:t>
      </w:r>
      <w:r>
        <w:rPr/>
        <w:t>en</w:t>
      </w:r>
      <w:r>
        <w:rPr>
          <w:spacing w:val="-25"/>
        </w:rPr>
        <w:t> </w:t>
      </w:r>
      <w:r>
        <w:rPr/>
        <w:t>revisiones</w:t>
      </w:r>
      <w:r>
        <w:rPr>
          <w:spacing w:val="-26"/>
        </w:rPr>
        <w:t> </w:t>
      </w:r>
      <w:r>
        <w:rPr/>
        <w:t>sistemáticas.</w:t>
      </w:r>
      <w:r>
        <w:rPr>
          <w:spacing w:val="-26"/>
        </w:rPr>
        <w:t> </w:t>
      </w:r>
      <w:r>
        <w:rPr/>
        <w:t>La</w:t>
      </w:r>
      <w:r>
        <w:rPr>
          <w:spacing w:val="-25"/>
        </w:rPr>
        <w:t> </w:t>
      </w:r>
      <w:r>
        <w:rPr/>
        <w:t>mayor parte de la literatura disponible se ha centrado en los efectos que la analgesia postoperatoria tiene sobre la morbilidad y la mortalidad.</w:t>
      </w:r>
      <w:r>
        <w:rPr>
          <w:spacing w:val="-21"/>
        </w:rPr>
        <w:t> </w:t>
      </w:r>
      <w:r>
        <w:rPr/>
        <w:t>Son</w:t>
      </w:r>
      <w:r>
        <w:rPr>
          <w:spacing w:val="-20"/>
        </w:rPr>
        <w:t> </w:t>
      </w:r>
      <w:r>
        <w:rPr/>
        <w:t>pocos</w:t>
      </w:r>
      <w:r>
        <w:rPr>
          <w:spacing w:val="-20"/>
        </w:rPr>
        <w:t> </w:t>
      </w:r>
      <w:r>
        <w:rPr/>
        <w:t>los</w:t>
      </w:r>
      <w:r>
        <w:rPr>
          <w:spacing w:val="-20"/>
        </w:rPr>
        <w:t> </w:t>
      </w:r>
      <w:r>
        <w:rPr/>
        <w:t>estudios</w:t>
      </w:r>
      <w:r>
        <w:rPr>
          <w:spacing w:val="-20"/>
        </w:rPr>
        <w:t> </w:t>
      </w:r>
      <w:r>
        <w:rPr/>
        <w:t>que</w:t>
      </w:r>
      <w:r>
        <w:rPr>
          <w:spacing w:val="-20"/>
        </w:rPr>
        <w:t> </w:t>
      </w:r>
      <w:r>
        <w:rPr/>
        <w:t>se</w:t>
      </w:r>
      <w:r>
        <w:rPr>
          <w:spacing w:val="-20"/>
        </w:rPr>
        <w:t> </w:t>
      </w:r>
      <w:r>
        <w:rPr/>
        <w:t>han</w:t>
      </w:r>
      <w:r>
        <w:rPr>
          <w:spacing w:val="-21"/>
        </w:rPr>
        <w:t> </w:t>
      </w:r>
      <w:r>
        <w:rPr/>
        <w:t>dedicado</w:t>
      </w:r>
      <w:r>
        <w:rPr>
          <w:spacing w:val="-20"/>
        </w:rPr>
        <w:t> </w:t>
      </w:r>
      <w:r>
        <w:rPr/>
        <w:t>a</w:t>
      </w:r>
      <w:r>
        <w:rPr>
          <w:spacing w:val="-20"/>
        </w:rPr>
        <w:t> </w:t>
      </w:r>
      <w:r>
        <w:rPr/>
        <w:t>evaluar parámetros tales como la calidad de vida, bienestar durante el postoperatorio,</w:t>
      </w:r>
      <w:r>
        <w:rPr>
          <w:spacing w:val="-23"/>
        </w:rPr>
        <w:t> </w:t>
      </w:r>
      <w:r>
        <w:rPr/>
        <w:t>satisfacción</w:t>
      </w:r>
      <w:r>
        <w:rPr>
          <w:spacing w:val="-23"/>
        </w:rPr>
        <w:t> </w:t>
      </w:r>
      <w:r>
        <w:rPr/>
        <w:t>de</w:t>
      </w:r>
      <w:r>
        <w:rPr>
          <w:spacing w:val="-23"/>
        </w:rPr>
        <w:t> </w:t>
      </w:r>
      <w:r>
        <w:rPr/>
        <w:t>la</w:t>
      </w:r>
      <w:r>
        <w:rPr>
          <w:spacing w:val="-22"/>
        </w:rPr>
        <w:t> </w:t>
      </w:r>
      <w:r>
        <w:rPr/>
        <w:t>recuperación</w:t>
      </w:r>
      <w:r>
        <w:rPr>
          <w:spacing w:val="-23"/>
        </w:rPr>
        <w:t> </w:t>
      </w:r>
      <w:r>
        <w:rPr/>
        <w:t>y</w:t>
      </w:r>
      <w:r>
        <w:rPr>
          <w:spacing w:val="-23"/>
        </w:rPr>
        <w:t> </w:t>
      </w:r>
      <w:r>
        <w:rPr/>
        <w:t>del</w:t>
      </w:r>
      <w:r>
        <w:rPr>
          <w:spacing w:val="-22"/>
        </w:rPr>
        <w:t> </w:t>
      </w:r>
      <w:r>
        <w:rPr/>
        <w:t>paciente</w:t>
      </w:r>
      <w:r>
        <w:rPr>
          <w:spacing w:val="-23"/>
        </w:rPr>
        <w:t> </w:t>
      </w:r>
      <w:r>
        <w:rPr/>
        <w:t>(9). Un</w:t>
      </w:r>
      <w:r>
        <w:rPr>
          <w:spacing w:val="-26"/>
        </w:rPr>
        <w:t> </w:t>
      </w:r>
      <w:r>
        <w:rPr/>
        <w:t>meta-análisis</w:t>
      </w:r>
      <w:r>
        <w:rPr>
          <w:spacing w:val="-25"/>
        </w:rPr>
        <w:t> </w:t>
      </w:r>
      <w:r>
        <w:rPr/>
        <w:t>de</w:t>
      </w:r>
      <w:r>
        <w:rPr>
          <w:spacing w:val="-25"/>
        </w:rPr>
        <w:t> </w:t>
      </w:r>
      <w:r>
        <w:rPr/>
        <w:t>2006,</w:t>
      </w:r>
      <w:r>
        <w:rPr>
          <w:spacing w:val="-25"/>
        </w:rPr>
        <w:t> </w:t>
      </w:r>
      <w:r>
        <w:rPr/>
        <w:t>identificado</w:t>
      </w:r>
      <w:r>
        <w:rPr>
          <w:spacing w:val="-26"/>
        </w:rPr>
        <w:t> </w:t>
      </w:r>
      <w:r>
        <w:rPr/>
        <w:t>en</w:t>
      </w:r>
      <w:r>
        <w:rPr>
          <w:spacing w:val="-25"/>
        </w:rPr>
        <w:t> </w:t>
      </w:r>
      <w:r>
        <w:rPr/>
        <w:t>la</w:t>
      </w:r>
      <w:r>
        <w:rPr>
          <w:spacing w:val="-25"/>
        </w:rPr>
        <w:t> </w:t>
      </w:r>
      <w:r>
        <w:rPr/>
        <w:t>biblioteca</w:t>
      </w:r>
      <w:r>
        <w:rPr>
          <w:spacing w:val="-25"/>
        </w:rPr>
        <w:t> </w:t>
      </w:r>
      <w:r>
        <w:rPr/>
        <w:t>Cochrane, incluyó 37 ensayos controlados aleatorizados (ECA)</w:t>
      </w:r>
      <w:r>
        <w:rPr>
          <w:spacing w:val="15"/>
        </w:rPr>
        <w:t> </w:t>
      </w:r>
      <w:r>
        <w:rPr>
          <w:spacing w:val="-2"/>
        </w:rPr>
        <w:t>con</w:t>
      </w:r>
    </w:p>
    <w:p>
      <w:pPr>
        <w:pStyle w:val="BodyText"/>
        <w:spacing w:line="225" w:lineRule="auto" w:before="3"/>
        <w:ind w:left="113" w:right="108"/>
        <w:jc w:val="both"/>
      </w:pPr>
      <w:r>
        <w:rPr/>
        <w:t>2.240 pacientes. La revisión cualitativa observó una reducción estadísticamente significativa en las puntuaciones de dolor en reposo</w:t>
      </w:r>
      <w:r>
        <w:rPr>
          <w:spacing w:val="-13"/>
        </w:rPr>
        <w:t> </w:t>
      </w:r>
      <w:r>
        <w:rPr/>
        <w:t>en</w:t>
      </w:r>
      <w:r>
        <w:rPr>
          <w:spacing w:val="-12"/>
        </w:rPr>
        <w:t> </w:t>
      </w:r>
      <w:r>
        <w:rPr/>
        <w:t>sólo</w:t>
      </w:r>
      <w:r>
        <w:rPr>
          <w:spacing w:val="-13"/>
        </w:rPr>
        <w:t> </w:t>
      </w:r>
      <w:r>
        <w:rPr/>
        <w:t>el</w:t>
      </w:r>
      <w:r>
        <w:rPr>
          <w:spacing w:val="-12"/>
        </w:rPr>
        <w:t> </w:t>
      </w:r>
      <w:r>
        <w:rPr/>
        <w:t>54%</w:t>
      </w:r>
      <w:r>
        <w:rPr>
          <w:spacing w:val="-12"/>
        </w:rPr>
        <w:t> </w:t>
      </w:r>
      <w:r>
        <w:rPr/>
        <w:t>de</w:t>
      </w:r>
      <w:r>
        <w:rPr>
          <w:spacing w:val="-13"/>
        </w:rPr>
        <w:t> </w:t>
      </w:r>
      <w:r>
        <w:rPr/>
        <w:t>los</w:t>
      </w:r>
      <w:r>
        <w:rPr>
          <w:spacing w:val="-12"/>
        </w:rPr>
        <w:t> </w:t>
      </w:r>
      <w:r>
        <w:rPr/>
        <w:t>pacientes</w:t>
      </w:r>
      <w:r>
        <w:rPr>
          <w:spacing w:val="-12"/>
        </w:rPr>
        <w:t> </w:t>
      </w:r>
      <w:r>
        <w:rPr/>
        <w:t>tratados</w:t>
      </w:r>
      <w:r>
        <w:rPr>
          <w:spacing w:val="-13"/>
        </w:rPr>
        <w:t> </w:t>
      </w:r>
      <w:r>
        <w:rPr/>
        <w:t>con</w:t>
      </w:r>
      <w:r>
        <w:rPr>
          <w:spacing w:val="-12"/>
        </w:rPr>
        <w:t> </w:t>
      </w:r>
      <w:r>
        <w:rPr/>
        <w:t>KET</w:t>
      </w:r>
      <w:r>
        <w:rPr>
          <w:spacing w:val="-16"/>
        </w:rPr>
        <w:t> </w:t>
      </w:r>
      <w:r>
        <w:rPr>
          <w:spacing w:val="-9"/>
        </w:rPr>
        <w:t>EV.</w:t>
      </w:r>
      <w:r>
        <w:rPr>
          <w:spacing w:val="-12"/>
        </w:rPr>
        <w:t> </w:t>
      </w:r>
      <w:r>
        <w:rPr/>
        <w:t>No se hicieron comentarios sobre la magnitud de la reducción. Aunque el consumo  de  morfina  (M+)  EV  disminuyó,  no  se observaron diferencias significativas en las náuseas y vómitos postoperatorios (NVPO) con KET (18%) frente a placebo (22%) combinado con opioides IV para la analgesia postoperatoria (10,</w:t>
      </w:r>
      <w:r>
        <w:rPr>
          <w:spacing w:val="6"/>
        </w:rPr>
        <w:t> </w:t>
      </w:r>
      <w:r>
        <w:rPr/>
        <w:t>11).</w:t>
      </w:r>
    </w:p>
    <w:p>
      <w:pPr>
        <w:pStyle w:val="BodyText"/>
        <w:spacing w:line="225" w:lineRule="auto" w:before="3"/>
        <w:ind w:left="113" w:right="112"/>
        <w:jc w:val="both"/>
      </w:pPr>
      <w:r>
        <w:rPr/>
        <w:t>La</w:t>
      </w:r>
      <w:r>
        <w:rPr>
          <w:spacing w:val="-9"/>
        </w:rPr>
        <w:t> </w:t>
      </w:r>
      <w:r>
        <w:rPr/>
        <w:t>KET</w:t>
      </w:r>
      <w:r>
        <w:rPr>
          <w:spacing w:val="-11"/>
        </w:rPr>
        <w:t> </w:t>
      </w:r>
      <w:r>
        <w:rPr/>
        <w:t>mejora</w:t>
      </w:r>
      <w:r>
        <w:rPr>
          <w:spacing w:val="-8"/>
        </w:rPr>
        <w:t> </w:t>
      </w:r>
      <w:r>
        <w:rPr/>
        <w:t>y</w:t>
      </w:r>
      <w:r>
        <w:rPr>
          <w:spacing w:val="-8"/>
        </w:rPr>
        <w:t> </w:t>
      </w:r>
      <w:r>
        <w:rPr/>
        <w:t>prolonga</w:t>
      </w:r>
      <w:r>
        <w:rPr>
          <w:spacing w:val="-8"/>
        </w:rPr>
        <w:t> </w:t>
      </w:r>
      <w:r>
        <w:rPr/>
        <w:t>la</w:t>
      </w:r>
      <w:r>
        <w:rPr>
          <w:spacing w:val="-9"/>
        </w:rPr>
        <w:t> </w:t>
      </w:r>
      <w:r>
        <w:rPr/>
        <w:t>analgesia</w:t>
      </w:r>
      <w:r>
        <w:rPr>
          <w:spacing w:val="-8"/>
        </w:rPr>
        <w:t> </w:t>
      </w:r>
      <w:r>
        <w:rPr/>
        <w:t>postoperatoria,</w:t>
      </w:r>
      <w:r>
        <w:rPr>
          <w:spacing w:val="-8"/>
        </w:rPr>
        <w:t> </w:t>
      </w:r>
      <w:r>
        <w:rPr/>
        <w:t>tanto</w:t>
      </w:r>
      <w:r>
        <w:rPr>
          <w:spacing w:val="-9"/>
        </w:rPr>
        <w:t> </w:t>
      </w:r>
      <w:r>
        <w:rPr/>
        <w:t>en adultos como en infantes (12). Aunque no está aprobada por la Food</w:t>
      </w:r>
      <w:r>
        <w:rPr>
          <w:spacing w:val="-33"/>
        </w:rPr>
        <w:t> </w:t>
      </w:r>
      <w:r>
        <w:rPr/>
        <w:t>and</w:t>
      </w:r>
      <w:r>
        <w:rPr>
          <w:spacing w:val="-33"/>
        </w:rPr>
        <w:t> </w:t>
      </w:r>
      <w:r>
        <w:rPr/>
        <w:t>Drugs</w:t>
      </w:r>
      <w:r>
        <w:rPr>
          <w:spacing w:val="-38"/>
        </w:rPr>
        <w:t> </w:t>
      </w:r>
      <w:r>
        <w:rPr/>
        <w:t>Administration</w:t>
      </w:r>
      <w:r>
        <w:rPr>
          <w:spacing w:val="-33"/>
        </w:rPr>
        <w:t> </w:t>
      </w:r>
      <w:r>
        <w:rPr/>
        <w:t>de</w:t>
      </w:r>
      <w:r>
        <w:rPr>
          <w:spacing w:val="-33"/>
        </w:rPr>
        <w:t> </w:t>
      </w:r>
      <w:r>
        <w:rPr/>
        <w:t>los</w:t>
      </w:r>
      <w:r>
        <w:rPr>
          <w:spacing w:val="-33"/>
        </w:rPr>
        <w:t> </w:t>
      </w:r>
      <w:r>
        <w:rPr/>
        <w:t>Estados</w:t>
      </w:r>
      <w:r>
        <w:rPr>
          <w:spacing w:val="-32"/>
        </w:rPr>
        <w:t> </w:t>
      </w:r>
      <w:r>
        <w:rPr/>
        <w:t>Unidos</w:t>
      </w:r>
      <w:r>
        <w:rPr>
          <w:spacing w:val="-33"/>
        </w:rPr>
        <w:t> </w:t>
      </w:r>
      <w:r>
        <w:rPr/>
        <w:t>de</w:t>
      </w:r>
      <w:r>
        <w:rPr>
          <w:spacing w:val="-38"/>
        </w:rPr>
        <w:t> </w:t>
      </w:r>
      <w:r>
        <w:rPr/>
        <w:t>América (FDA), la evidencia se ve favorecida por su elevada eficacia; si bien en niños esta evidencia es incompleta (7). Además, la utilización de la KET por vía intramuscular (IM), endovenosa (EV) o epidural (EPI), proporciona un efecto </w:t>
      </w:r>
      <w:r>
        <w:rPr>
          <w:spacing w:val="-3"/>
        </w:rPr>
        <w:t>sinérgico, </w:t>
      </w:r>
      <w:r>
        <w:rPr/>
        <w:t>lo </w:t>
      </w:r>
      <w:r>
        <w:rPr>
          <w:spacing w:val="-2"/>
        </w:rPr>
        <w:t>que </w:t>
      </w:r>
      <w:r>
        <w:rPr/>
        <w:t>permite reducir el consumo de M+, permitiendo reducir </w:t>
      </w:r>
      <w:r>
        <w:rPr>
          <w:spacing w:val="-2"/>
        </w:rPr>
        <w:t>los </w:t>
      </w:r>
      <w:r>
        <w:rPr/>
        <w:t>efectos</w:t>
      </w:r>
      <w:r>
        <w:rPr>
          <w:spacing w:val="-15"/>
        </w:rPr>
        <w:t> </w:t>
      </w:r>
      <w:r>
        <w:rPr/>
        <w:t>secundarios</w:t>
      </w:r>
      <w:r>
        <w:rPr>
          <w:spacing w:val="-14"/>
        </w:rPr>
        <w:t> </w:t>
      </w:r>
      <w:r>
        <w:rPr/>
        <w:t>al</w:t>
      </w:r>
      <w:r>
        <w:rPr>
          <w:spacing w:val="-14"/>
        </w:rPr>
        <w:t> </w:t>
      </w:r>
      <w:r>
        <w:rPr/>
        <w:t>uso</w:t>
      </w:r>
      <w:r>
        <w:rPr>
          <w:spacing w:val="-14"/>
        </w:rPr>
        <w:t> </w:t>
      </w:r>
      <w:r>
        <w:rPr/>
        <w:t>de</w:t>
      </w:r>
      <w:r>
        <w:rPr>
          <w:spacing w:val="-14"/>
        </w:rPr>
        <w:t> </w:t>
      </w:r>
      <w:r>
        <w:rPr/>
        <w:t>ésta.</w:t>
      </w:r>
      <w:r>
        <w:rPr>
          <w:spacing w:val="-14"/>
        </w:rPr>
        <w:t> </w:t>
      </w:r>
      <w:r>
        <w:rPr/>
        <w:t>Por</w:t>
      </w:r>
      <w:r>
        <w:rPr>
          <w:spacing w:val="-14"/>
        </w:rPr>
        <w:t> </w:t>
      </w:r>
      <w:r>
        <w:rPr/>
        <w:t>vía</w:t>
      </w:r>
      <w:r>
        <w:rPr>
          <w:spacing w:val="-14"/>
        </w:rPr>
        <w:t> </w:t>
      </w:r>
      <w:r>
        <w:rPr>
          <w:spacing w:val="-9"/>
        </w:rPr>
        <w:t>EV,</w:t>
      </w:r>
      <w:r>
        <w:rPr>
          <w:spacing w:val="-14"/>
        </w:rPr>
        <w:t> </w:t>
      </w:r>
      <w:r>
        <w:rPr/>
        <w:t>su</w:t>
      </w:r>
      <w:r>
        <w:rPr>
          <w:spacing w:val="-14"/>
        </w:rPr>
        <w:t> </w:t>
      </w:r>
      <w:r>
        <w:rPr/>
        <w:t>administración postoperatoria</w:t>
      </w:r>
      <w:r>
        <w:rPr>
          <w:spacing w:val="-19"/>
        </w:rPr>
        <w:t> </w:t>
      </w:r>
      <w:r>
        <w:rPr/>
        <w:t>proporciona</w:t>
      </w:r>
      <w:r>
        <w:rPr>
          <w:spacing w:val="-19"/>
        </w:rPr>
        <w:t> </w:t>
      </w:r>
      <w:r>
        <w:rPr/>
        <w:t>un</w:t>
      </w:r>
      <w:r>
        <w:rPr>
          <w:spacing w:val="-19"/>
        </w:rPr>
        <w:t> </w:t>
      </w:r>
      <w:r>
        <w:rPr/>
        <w:t>efecto</w:t>
      </w:r>
      <w:r>
        <w:rPr>
          <w:spacing w:val="-19"/>
        </w:rPr>
        <w:t> </w:t>
      </w:r>
      <w:r>
        <w:rPr/>
        <w:t>hipnótico</w:t>
      </w:r>
      <w:r>
        <w:rPr>
          <w:spacing w:val="-19"/>
        </w:rPr>
        <w:t> </w:t>
      </w:r>
      <w:r>
        <w:rPr/>
        <w:t>breve</w:t>
      </w:r>
      <w:r>
        <w:rPr>
          <w:spacing w:val="-18"/>
        </w:rPr>
        <w:t> </w:t>
      </w:r>
      <w:r>
        <w:rPr/>
        <w:t>y</w:t>
      </w:r>
      <w:r>
        <w:rPr>
          <w:spacing w:val="-19"/>
        </w:rPr>
        <w:t> </w:t>
      </w:r>
      <w:r>
        <w:rPr/>
        <w:t>un</w:t>
      </w:r>
      <w:r>
        <w:rPr>
          <w:spacing w:val="-19"/>
        </w:rPr>
        <w:t> </w:t>
      </w:r>
      <w:r>
        <w:rPr>
          <w:spacing w:val="-2"/>
        </w:rPr>
        <w:t>efecto </w:t>
      </w:r>
      <w:r>
        <w:rPr/>
        <w:t>analgésico</w:t>
      </w:r>
      <w:r>
        <w:rPr>
          <w:spacing w:val="-23"/>
        </w:rPr>
        <w:t> </w:t>
      </w:r>
      <w:r>
        <w:rPr/>
        <w:t>en</w:t>
      </w:r>
      <w:r>
        <w:rPr>
          <w:spacing w:val="-22"/>
        </w:rPr>
        <w:t> </w:t>
      </w:r>
      <w:r>
        <w:rPr/>
        <w:t>pacientes</w:t>
      </w:r>
      <w:r>
        <w:rPr>
          <w:spacing w:val="-22"/>
        </w:rPr>
        <w:t> </w:t>
      </w:r>
      <w:r>
        <w:rPr/>
        <w:t>sometidos</w:t>
      </w:r>
      <w:r>
        <w:rPr>
          <w:spacing w:val="-23"/>
        </w:rPr>
        <w:t> </w:t>
      </w:r>
      <w:r>
        <w:rPr/>
        <w:t>a</w:t>
      </w:r>
      <w:r>
        <w:rPr>
          <w:spacing w:val="-22"/>
        </w:rPr>
        <w:t> </w:t>
      </w:r>
      <w:r>
        <w:rPr/>
        <w:t>colecistectomía</w:t>
      </w:r>
      <w:r>
        <w:rPr>
          <w:spacing w:val="-22"/>
        </w:rPr>
        <w:t> </w:t>
      </w:r>
      <w:r>
        <w:rPr/>
        <w:t>(13,</w:t>
      </w:r>
      <w:r>
        <w:rPr>
          <w:spacing w:val="-23"/>
        </w:rPr>
        <w:t> </w:t>
      </w:r>
      <w:r>
        <w:rPr/>
        <w:t>14,</w:t>
      </w:r>
      <w:r>
        <w:rPr>
          <w:spacing w:val="-22"/>
        </w:rPr>
        <w:t> </w:t>
      </w:r>
      <w:r>
        <w:rPr/>
        <w:t>15). Ha sido demostrado que la administración de KET EV en </w:t>
      </w:r>
      <w:r>
        <w:rPr>
          <w:spacing w:val="-2"/>
        </w:rPr>
        <w:t>una </w:t>
      </w:r>
      <w:r>
        <w:rPr/>
        <w:t>dosis</w:t>
      </w:r>
      <w:r>
        <w:rPr>
          <w:spacing w:val="-26"/>
        </w:rPr>
        <w:t> </w:t>
      </w:r>
      <w:r>
        <w:rPr/>
        <w:t>de</w:t>
      </w:r>
      <w:r>
        <w:rPr>
          <w:spacing w:val="-25"/>
        </w:rPr>
        <w:t> </w:t>
      </w:r>
      <w:r>
        <w:rPr/>
        <w:t>0,2</w:t>
      </w:r>
      <w:r>
        <w:rPr>
          <w:spacing w:val="-25"/>
        </w:rPr>
        <w:t> </w:t>
      </w:r>
      <w:r>
        <w:rPr/>
        <w:t>mg/kg</w:t>
      </w:r>
      <w:r>
        <w:rPr>
          <w:spacing w:val="-26"/>
        </w:rPr>
        <w:t> </w:t>
      </w:r>
      <w:r>
        <w:rPr/>
        <w:t>permite</w:t>
      </w:r>
      <w:r>
        <w:rPr>
          <w:spacing w:val="-25"/>
        </w:rPr>
        <w:t> </w:t>
      </w:r>
      <w:r>
        <w:rPr/>
        <w:t>prolongar</w:t>
      </w:r>
      <w:r>
        <w:rPr>
          <w:spacing w:val="-25"/>
        </w:rPr>
        <w:t> </w:t>
      </w:r>
      <w:r>
        <w:rPr/>
        <w:t>la</w:t>
      </w:r>
      <w:r>
        <w:rPr>
          <w:spacing w:val="-25"/>
        </w:rPr>
        <w:t> </w:t>
      </w:r>
      <w:r>
        <w:rPr/>
        <w:t>analgesia</w:t>
      </w:r>
      <w:r>
        <w:rPr>
          <w:spacing w:val="-26"/>
        </w:rPr>
        <w:t> </w:t>
      </w:r>
      <w:r>
        <w:rPr/>
        <w:t>postoperatoria, sin aumentar la incidencia de NVPO</w:t>
      </w:r>
      <w:r>
        <w:rPr>
          <w:spacing w:val="-32"/>
        </w:rPr>
        <w:t> </w:t>
      </w:r>
      <w:r>
        <w:rPr/>
        <w:t>(16).</w:t>
      </w:r>
    </w:p>
    <w:p>
      <w:pPr>
        <w:pStyle w:val="BodyText"/>
        <w:spacing w:line="225" w:lineRule="auto" w:before="5"/>
        <w:ind w:left="113" w:right="109"/>
        <w:jc w:val="both"/>
      </w:pPr>
      <w:r>
        <w:rPr/>
        <w:t>La</w:t>
      </w:r>
      <w:r>
        <w:rPr>
          <w:spacing w:val="-19"/>
        </w:rPr>
        <w:t> </w:t>
      </w:r>
      <w:r>
        <w:rPr/>
        <w:t>combinación</w:t>
      </w:r>
      <w:r>
        <w:rPr>
          <w:spacing w:val="-18"/>
        </w:rPr>
        <w:t> </w:t>
      </w:r>
      <w:r>
        <w:rPr/>
        <w:t>de</w:t>
      </w:r>
      <w:r>
        <w:rPr>
          <w:spacing w:val="-18"/>
        </w:rPr>
        <w:t> </w:t>
      </w:r>
      <w:r>
        <w:rPr/>
        <w:t>KET</w:t>
      </w:r>
      <w:r>
        <w:rPr>
          <w:spacing w:val="-20"/>
        </w:rPr>
        <w:t> </w:t>
      </w:r>
      <w:r>
        <w:rPr/>
        <w:t>y</w:t>
      </w:r>
      <w:r>
        <w:rPr>
          <w:spacing w:val="-18"/>
        </w:rPr>
        <w:t> </w:t>
      </w:r>
      <w:r>
        <w:rPr/>
        <w:t>M+</w:t>
      </w:r>
      <w:r>
        <w:rPr>
          <w:spacing w:val="-18"/>
        </w:rPr>
        <w:t> </w:t>
      </w:r>
      <w:r>
        <w:rPr/>
        <w:t>EV</w:t>
      </w:r>
      <w:r>
        <w:rPr>
          <w:spacing w:val="-21"/>
        </w:rPr>
        <w:t> </w:t>
      </w:r>
      <w:r>
        <w:rPr/>
        <w:t>(17)</w:t>
      </w:r>
      <w:r>
        <w:rPr>
          <w:spacing w:val="-18"/>
        </w:rPr>
        <w:t> </w:t>
      </w:r>
      <w:r>
        <w:rPr/>
        <w:t>proporciona</w:t>
      </w:r>
      <w:r>
        <w:rPr>
          <w:spacing w:val="-18"/>
        </w:rPr>
        <w:t> </w:t>
      </w:r>
      <w:r>
        <w:rPr/>
        <w:t>una</w:t>
      </w:r>
      <w:r>
        <w:rPr>
          <w:spacing w:val="-18"/>
        </w:rPr>
        <w:t> </w:t>
      </w:r>
      <w:r>
        <w:rPr/>
        <w:t>mayor</w:t>
      </w:r>
      <w:r>
        <w:rPr>
          <w:spacing w:val="-18"/>
        </w:rPr>
        <w:t> </w:t>
      </w:r>
      <w:r>
        <w:rPr/>
        <w:t>y mejor</w:t>
      </w:r>
      <w:r>
        <w:rPr>
          <w:spacing w:val="-30"/>
        </w:rPr>
        <w:t> </w:t>
      </w:r>
      <w:r>
        <w:rPr/>
        <w:t>analgesia,</w:t>
      </w:r>
      <w:r>
        <w:rPr>
          <w:spacing w:val="-29"/>
        </w:rPr>
        <w:t> </w:t>
      </w:r>
      <w:r>
        <w:rPr/>
        <w:t>y</w:t>
      </w:r>
      <w:r>
        <w:rPr>
          <w:spacing w:val="-29"/>
        </w:rPr>
        <w:t> </w:t>
      </w:r>
      <w:r>
        <w:rPr/>
        <w:t>evidenció</w:t>
      </w:r>
      <w:r>
        <w:rPr>
          <w:spacing w:val="-29"/>
        </w:rPr>
        <w:t> </w:t>
      </w:r>
      <w:r>
        <w:rPr/>
        <w:t>disminución</w:t>
      </w:r>
      <w:r>
        <w:rPr>
          <w:spacing w:val="-29"/>
        </w:rPr>
        <w:t> </w:t>
      </w:r>
      <w:r>
        <w:rPr/>
        <w:t>en</w:t>
      </w:r>
      <w:r>
        <w:rPr>
          <w:spacing w:val="-29"/>
        </w:rPr>
        <w:t> </w:t>
      </w:r>
      <w:r>
        <w:rPr/>
        <w:t>el</w:t>
      </w:r>
      <w:r>
        <w:rPr>
          <w:spacing w:val="-30"/>
        </w:rPr>
        <w:t> </w:t>
      </w:r>
      <w:r>
        <w:rPr/>
        <w:t>uso</w:t>
      </w:r>
      <w:r>
        <w:rPr>
          <w:spacing w:val="-29"/>
        </w:rPr>
        <w:t> </w:t>
      </w:r>
      <w:r>
        <w:rPr/>
        <w:t>de</w:t>
      </w:r>
      <w:r>
        <w:rPr>
          <w:spacing w:val="-29"/>
        </w:rPr>
        <w:t> </w:t>
      </w:r>
      <w:r>
        <w:rPr/>
        <w:t>medicación analgésica de rescate, en comparación con el uso de M+ EV como droga única, en pacientes sometidos a microdiscectomía (18). Este estudio utilizó sistemas de administración EV de fármacos autocontrolados por el paciente (PCA). La</w:t>
      </w:r>
      <w:r>
        <w:rPr>
          <w:spacing w:val="-33"/>
        </w:rPr>
        <w:t> </w:t>
      </w:r>
      <w:r>
        <w:rPr/>
        <w:t>incidencia</w:t>
      </w:r>
    </w:p>
    <w:p>
      <w:pPr>
        <w:spacing w:after="0" w:line="225" w:lineRule="auto"/>
        <w:jc w:val="both"/>
        <w:sectPr>
          <w:type w:val="continuous"/>
          <w:pgSz w:w="11910" w:h="15310"/>
          <w:pgMar w:top="0" w:bottom="280" w:left="1020" w:right="1020"/>
          <w:cols w:num="2" w:equalWidth="0">
            <w:col w:w="4677" w:space="448"/>
            <w:col w:w="4745"/>
          </w:cols>
        </w:sectPr>
      </w:pPr>
    </w:p>
    <w:p>
      <w:pPr>
        <w:pStyle w:val="BodyText"/>
        <w:spacing w:before="9"/>
        <w:rPr>
          <w:sz w:val="12"/>
        </w:rPr>
      </w:pPr>
    </w:p>
    <w:p>
      <w:pPr>
        <w:spacing w:after="0"/>
        <w:rPr>
          <w:sz w:val="12"/>
        </w:rPr>
        <w:sectPr>
          <w:pgSz w:w="11910" w:h="15310"/>
          <w:pgMar w:header="879" w:footer="0" w:top="1120" w:bottom="280" w:left="1020" w:right="1020"/>
        </w:sectPr>
      </w:pPr>
    </w:p>
    <w:p>
      <w:pPr>
        <w:pStyle w:val="BodyText"/>
        <w:spacing w:line="225" w:lineRule="auto" w:before="103"/>
        <w:ind w:left="113" w:right="38"/>
        <w:jc w:val="both"/>
      </w:pPr>
      <w:r>
        <w:rPr/>
        <w:t>de efectos adversos fue inferior en el grupo de KET asociada  a M+, en particular en lo referente a las NVPO, presencia de prurito y retención urinaria. En el paciente hipovolémico o</w:t>
      </w:r>
      <w:r>
        <w:rPr>
          <w:spacing w:val="-19"/>
        </w:rPr>
        <w:t> </w:t>
      </w:r>
      <w:r>
        <w:rPr>
          <w:spacing w:val="-2"/>
        </w:rPr>
        <w:t>con </w:t>
      </w:r>
      <w:r>
        <w:rPr/>
        <w:t>problemas</w:t>
      </w:r>
      <w:r>
        <w:rPr>
          <w:spacing w:val="-12"/>
        </w:rPr>
        <w:t> </w:t>
      </w:r>
      <w:r>
        <w:rPr/>
        <w:t>respiratorios</w:t>
      </w:r>
      <w:r>
        <w:rPr>
          <w:spacing w:val="-11"/>
        </w:rPr>
        <w:t> </w:t>
      </w:r>
      <w:r>
        <w:rPr/>
        <w:t>asociados</w:t>
      </w:r>
      <w:r>
        <w:rPr>
          <w:spacing w:val="-11"/>
        </w:rPr>
        <w:t> </w:t>
      </w:r>
      <w:r>
        <w:rPr/>
        <w:t>a</w:t>
      </w:r>
      <w:r>
        <w:rPr>
          <w:spacing w:val="-11"/>
        </w:rPr>
        <w:t> </w:t>
      </w:r>
      <w:r>
        <w:rPr/>
        <w:t>trauma,</w:t>
      </w:r>
      <w:r>
        <w:rPr>
          <w:spacing w:val="-11"/>
        </w:rPr>
        <w:t> </w:t>
      </w:r>
      <w:r>
        <w:rPr/>
        <w:t>la</w:t>
      </w:r>
      <w:r>
        <w:rPr>
          <w:spacing w:val="-11"/>
        </w:rPr>
        <w:t> </w:t>
      </w:r>
      <w:r>
        <w:rPr/>
        <w:t>KET</w:t>
      </w:r>
      <w:r>
        <w:rPr>
          <w:spacing w:val="-13"/>
        </w:rPr>
        <w:t> </w:t>
      </w:r>
      <w:r>
        <w:rPr/>
        <w:t>presenta</w:t>
      </w:r>
      <w:r>
        <w:rPr>
          <w:spacing w:val="-11"/>
        </w:rPr>
        <w:t> </w:t>
      </w:r>
      <w:r>
        <w:rPr/>
        <w:t>un bajo perfil de efectos secundarios</w:t>
      </w:r>
      <w:r>
        <w:rPr>
          <w:spacing w:val="-28"/>
        </w:rPr>
        <w:t> </w:t>
      </w:r>
      <w:r>
        <w:rPr/>
        <w:t>(19).</w:t>
      </w:r>
    </w:p>
    <w:p>
      <w:pPr>
        <w:pStyle w:val="BodyText"/>
        <w:spacing w:line="225" w:lineRule="auto" w:before="2"/>
        <w:ind w:left="113" w:right="38"/>
        <w:jc w:val="both"/>
      </w:pPr>
      <w:r>
        <w:rPr/>
        <w:t>En el tratamiento del dolor agudo musculoesquelético, comparada con la administración de M+, la infusión continua (IC) por vía subcutánea (SC) de KET en una dosis de </w:t>
      </w:r>
      <w:r>
        <w:rPr>
          <w:spacing w:val="-2"/>
        </w:rPr>
        <w:t>0,1mg/ </w:t>
      </w:r>
      <w:r>
        <w:rPr/>
        <w:t>kg/h</w:t>
      </w:r>
      <w:r>
        <w:rPr>
          <w:spacing w:val="-9"/>
        </w:rPr>
        <w:t> </w:t>
      </w:r>
      <w:r>
        <w:rPr/>
        <w:t>fue</w:t>
      </w:r>
      <w:r>
        <w:rPr>
          <w:spacing w:val="-8"/>
        </w:rPr>
        <w:t> </w:t>
      </w:r>
      <w:r>
        <w:rPr/>
        <w:t>más</w:t>
      </w:r>
      <w:r>
        <w:rPr>
          <w:spacing w:val="-8"/>
        </w:rPr>
        <w:t> </w:t>
      </w:r>
      <w:r>
        <w:rPr/>
        <w:t>efectiva</w:t>
      </w:r>
      <w:r>
        <w:rPr>
          <w:spacing w:val="-9"/>
        </w:rPr>
        <w:t> </w:t>
      </w:r>
      <w:r>
        <w:rPr/>
        <w:t>que</w:t>
      </w:r>
      <w:r>
        <w:rPr>
          <w:spacing w:val="-8"/>
        </w:rPr>
        <w:t> </w:t>
      </w:r>
      <w:r>
        <w:rPr/>
        <w:t>la</w:t>
      </w:r>
      <w:r>
        <w:rPr>
          <w:spacing w:val="-8"/>
        </w:rPr>
        <w:t> </w:t>
      </w:r>
      <w:r>
        <w:rPr/>
        <w:t>administración</w:t>
      </w:r>
      <w:r>
        <w:rPr>
          <w:spacing w:val="-9"/>
        </w:rPr>
        <w:t> </w:t>
      </w:r>
      <w:r>
        <w:rPr/>
        <w:t>intermitente</w:t>
      </w:r>
      <w:r>
        <w:rPr>
          <w:spacing w:val="-8"/>
        </w:rPr>
        <w:t> </w:t>
      </w:r>
      <w:r>
        <w:rPr/>
        <w:t>de</w:t>
      </w:r>
      <w:r>
        <w:rPr>
          <w:spacing w:val="-8"/>
        </w:rPr>
        <w:t> </w:t>
      </w:r>
      <w:r>
        <w:rPr/>
        <w:t>M+ </w:t>
      </w:r>
      <w:r>
        <w:rPr>
          <w:spacing w:val="-9"/>
        </w:rPr>
        <w:t>EV.</w:t>
      </w:r>
      <w:r>
        <w:rPr>
          <w:spacing w:val="-10"/>
        </w:rPr>
        <w:t> </w:t>
      </w:r>
      <w:r>
        <w:rPr/>
        <w:t>En</w:t>
      </w:r>
      <w:r>
        <w:rPr>
          <w:spacing w:val="-9"/>
        </w:rPr>
        <w:t> </w:t>
      </w:r>
      <w:r>
        <w:rPr/>
        <w:t>los</w:t>
      </w:r>
      <w:r>
        <w:rPr>
          <w:spacing w:val="-9"/>
        </w:rPr>
        <w:t> </w:t>
      </w:r>
      <w:r>
        <w:rPr/>
        <w:t>pacientes</w:t>
      </w:r>
      <w:r>
        <w:rPr>
          <w:spacing w:val="-9"/>
        </w:rPr>
        <w:t> </w:t>
      </w:r>
      <w:r>
        <w:rPr/>
        <w:t>usuarios</w:t>
      </w:r>
      <w:r>
        <w:rPr>
          <w:spacing w:val="-9"/>
        </w:rPr>
        <w:t> </w:t>
      </w:r>
      <w:r>
        <w:rPr/>
        <w:t>de</w:t>
      </w:r>
      <w:r>
        <w:rPr>
          <w:spacing w:val="-9"/>
        </w:rPr>
        <w:t> </w:t>
      </w:r>
      <w:r>
        <w:rPr/>
        <w:t>M+</w:t>
      </w:r>
      <w:r>
        <w:rPr>
          <w:spacing w:val="-9"/>
        </w:rPr>
        <w:t> EV,</w:t>
      </w:r>
      <w:r>
        <w:rPr>
          <w:spacing w:val="-10"/>
        </w:rPr>
        <w:t> </w:t>
      </w:r>
      <w:r>
        <w:rPr/>
        <w:t>se</w:t>
      </w:r>
      <w:r>
        <w:rPr>
          <w:spacing w:val="-9"/>
        </w:rPr>
        <w:t> </w:t>
      </w:r>
      <w:r>
        <w:rPr/>
        <w:t>presentó</w:t>
      </w:r>
      <w:r>
        <w:rPr>
          <w:spacing w:val="-9"/>
        </w:rPr>
        <w:t> </w:t>
      </w:r>
      <w:r>
        <w:rPr/>
        <w:t>una</w:t>
      </w:r>
      <w:r>
        <w:rPr>
          <w:spacing w:val="-9"/>
        </w:rPr>
        <w:t> </w:t>
      </w:r>
      <w:r>
        <w:rPr/>
        <w:t>mayor incidencia de náuseas y vómitos. Los pacientes del grupo de KET se encontraban más alerta y con menores repercusiones respiratorias</w:t>
      </w:r>
      <w:r>
        <w:rPr>
          <w:spacing w:val="-8"/>
        </w:rPr>
        <w:t> </w:t>
      </w:r>
      <w:r>
        <w:rPr/>
        <w:t>y</w:t>
      </w:r>
      <w:r>
        <w:rPr>
          <w:spacing w:val="-8"/>
        </w:rPr>
        <w:t> </w:t>
      </w:r>
      <w:r>
        <w:rPr/>
        <w:t>hemodinámicas</w:t>
      </w:r>
      <w:r>
        <w:rPr>
          <w:spacing w:val="-8"/>
        </w:rPr>
        <w:t> </w:t>
      </w:r>
      <w:r>
        <w:rPr/>
        <w:t>(19).</w:t>
      </w:r>
      <w:r>
        <w:rPr>
          <w:spacing w:val="-8"/>
        </w:rPr>
        <w:t> </w:t>
      </w:r>
      <w:r>
        <w:rPr/>
        <w:t>Los</w:t>
      </w:r>
      <w:r>
        <w:rPr>
          <w:spacing w:val="-8"/>
        </w:rPr>
        <w:t> </w:t>
      </w:r>
      <w:r>
        <w:rPr/>
        <w:t>pacientes</w:t>
      </w:r>
      <w:r>
        <w:rPr>
          <w:spacing w:val="-8"/>
        </w:rPr>
        <w:t> </w:t>
      </w:r>
      <w:r>
        <w:rPr/>
        <w:t>del</w:t>
      </w:r>
      <w:r>
        <w:rPr>
          <w:spacing w:val="-8"/>
        </w:rPr>
        <w:t> </w:t>
      </w:r>
      <w:r>
        <w:rPr/>
        <w:t>grupo</w:t>
      </w:r>
      <w:r>
        <w:rPr>
          <w:spacing w:val="-8"/>
        </w:rPr>
        <w:t> </w:t>
      </w:r>
      <w:r>
        <w:rPr/>
        <w:t>de KET</w:t>
      </w:r>
      <w:r>
        <w:rPr>
          <w:spacing w:val="-28"/>
        </w:rPr>
        <w:t> </w:t>
      </w:r>
      <w:r>
        <w:rPr/>
        <w:t>estuvieron</w:t>
      </w:r>
      <w:r>
        <w:rPr>
          <w:spacing w:val="-26"/>
        </w:rPr>
        <w:t> </w:t>
      </w:r>
      <w:r>
        <w:rPr/>
        <w:t>más</w:t>
      </w:r>
      <w:r>
        <w:rPr>
          <w:spacing w:val="-27"/>
        </w:rPr>
        <w:t> </w:t>
      </w:r>
      <w:r>
        <w:rPr/>
        <w:t>cooperantes,</w:t>
      </w:r>
      <w:r>
        <w:rPr>
          <w:spacing w:val="-26"/>
        </w:rPr>
        <w:t> </w:t>
      </w:r>
      <w:r>
        <w:rPr/>
        <w:t>requirieron</w:t>
      </w:r>
      <w:r>
        <w:rPr>
          <w:spacing w:val="-26"/>
        </w:rPr>
        <w:t> </w:t>
      </w:r>
      <w:r>
        <w:rPr/>
        <w:t>menos</w:t>
      </w:r>
      <w:r>
        <w:rPr>
          <w:spacing w:val="-26"/>
        </w:rPr>
        <w:t> </w:t>
      </w:r>
      <w:r>
        <w:rPr/>
        <w:t>supervisión e iniciaron antes la rehabilitación y restauración de la función muscular</w:t>
      </w:r>
      <w:r>
        <w:rPr>
          <w:spacing w:val="-7"/>
        </w:rPr>
        <w:t> </w:t>
      </w:r>
      <w:r>
        <w:rPr/>
        <w:t>en</w:t>
      </w:r>
      <w:r>
        <w:rPr>
          <w:spacing w:val="-6"/>
        </w:rPr>
        <w:t> </w:t>
      </w:r>
      <w:r>
        <w:rPr/>
        <w:t>comparación</w:t>
      </w:r>
      <w:r>
        <w:rPr>
          <w:spacing w:val="-6"/>
        </w:rPr>
        <w:t> </w:t>
      </w:r>
      <w:r>
        <w:rPr/>
        <w:t>a</w:t>
      </w:r>
      <w:r>
        <w:rPr>
          <w:spacing w:val="-6"/>
        </w:rPr>
        <w:t> </w:t>
      </w:r>
      <w:r>
        <w:rPr/>
        <w:t>los</w:t>
      </w:r>
      <w:r>
        <w:rPr>
          <w:spacing w:val="-6"/>
        </w:rPr>
        <w:t> </w:t>
      </w:r>
      <w:r>
        <w:rPr/>
        <w:t>tratados</w:t>
      </w:r>
      <w:r>
        <w:rPr>
          <w:spacing w:val="-6"/>
        </w:rPr>
        <w:t> </w:t>
      </w:r>
      <w:r>
        <w:rPr/>
        <w:t>con</w:t>
      </w:r>
      <w:r>
        <w:rPr>
          <w:spacing w:val="-6"/>
        </w:rPr>
        <w:t> </w:t>
      </w:r>
      <w:r>
        <w:rPr/>
        <w:t>M+</w:t>
      </w:r>
      <w:r>
        <w:rPr>
          <w:spacing w:val="-6"/>
        </w:rPr>
        <w:t> </w:t>
      </w:r>
      <w:r>
        <w:rPr>
          <w:spacing w:val="-9"/>
        </w:rPr>
        <w:t>EV.</w:t>
      </w:r>
    </w:p>
    <w:p>
      <w:pPr>
        <w:pStyle w:val="BodyText"/>
        <w:spacing w:line="225" w:lineRule="auto" w:before="4"/>
        <w:ind w:left="113" w:right="38"/>
        <w:jc w:val="both"/>
      </w:pPr>
      <w:r>
        <w:rPr>
          <w:spacing w:val="-5"/>
        </w:rPr>
        <w:t>Varios </w:t>
      </w:r>
      <w:r>
        <w:rPr/>
        <w:t>estudios describen  el  uso  de  pequeñas  dosis  de  KET en combinación con anestesia local y/o analgésicos opiáceos (20-27). Sin </w:t>
      </w:r>
      <w:r>
        <w:rPr>
          <w:spacing w:val="-3"/>
        </w:rPr>
        <w:t>embargo, </w:t>
      </w:r>
      <w:r>
        <w:rPr/>
        <w:t>cuando la KET (1 mg/mL) se combinó con M+ (1 mg/mL) para analgesia controlada </w:t>
      </w:r>
      <w:r>
        <w:rPr>
          <w:spacing w:val="-2"/>
        </w:rPr>
        <w:t>por  </w:t>
      </w:r>
      <w:r>
        <w:rPr>
          <w:spacing w:val="41"/>
        </w:rPr>
        <w:t> </w:t>
      </w:r>
      <w:r>
        <w:rPr/>
        <w:t>el paciente (PCA) después de cirugía abdominal </w:t>
      </w:r>
      <w:r>
        <w:rPr>
          <w:spacing w:val="-3"/>
        </w:rPr>
        <w:t>mayor, </w:t>
      </w:r>
      <w:r>
        <w:rPr/>
        <w:t>no mejoró significativamente el alivio del dolor y se asoció </w:t>
      </w:r>
      <w:r>
        <w:rPr>
          <w:spacing w:val="-2"/>
        </w:rPr>
        <w:t>con </w:t>
      </w:r>
      <w:r>
        <w:rPr/>
        <w:t>mayores efectos secundarios (por ejemplo, sueños vívidos) en comparación con el opioide solo</w:t>
      </w:r>
      <w:r>
        <w:rPr>
          <w:spacing w:val="-26"/>
        </w:rPr>
        <w:t> </w:t>
      </w:r>
      <w:r>
        <w:rPr/>
        <w:t>(28).</w:t>
      </w:r>
    </w:p>
    <w:p>
      <w:pPr>
        <w:pStyle w:val="BodyText"/>
        <w:spacing w:line="225" w:lineRule="auto" w:before="3"/>
        <w:ind w:left="113" w:right="38"/>
        <w:jc w:val="both"/>
      </w:pPr>
      <w:r>
        <w:rPr/>
        <w:t>En pacientes sometidos a colecistectomía, luego de una dosis única</w:t>
      </w:r>
      <w:r>
        <w:rPr>
          <w:spacing w:val="-8"/>
        </w:rPr>
        <w:t> </w:t>
      </w:r>
      <w:r>
        <w:rPr/>
        <w:t>de</w:t>
      </w:r>
      <w:r>
        <w:rPr>
          <w:spacing w:val="-8"/>
        </w:rPr>
        <w:t> </w:t>
      </w:r>
      <w:r>
        <w:rPr/>
        <w:t>KET</w:t>
      </w:r>
      <w:r>
        <w:rPr>
          <w:spacing w:val="-10"/>
        </w:rPr>
        <w:t> </w:t>
      </w:r>
      <w:r>
        <w:rPr/>
        <w:t>EV</w:t>
      </w:r>
      <w:r>
        <w:rPr>
          <w:spacing w:val="-10"/>
        </w:rPr>
        <w:t> </w:t>
      </w:r>
      <w:r>
        <w:rPr/>
        <w:t>(0,25</w:t>
      </w:r>
      <w:r>
        <w:rPr>
          <w:spacing w:val="-7"/>
        </w:rPr>
        <w:t> </w:t>
      </w:r>
      <w:r>
        <w:rPr/>
        <w:t>mg/kg),</w:t>
      </w:r>
      <w:r>
        <w:rPr>
          <w:spacing w:val="-8"/>
        </w:rPr>
        <w:t> </w:t>
      </w:r>
      <w:r>
        <w:rPr/>
        <w:t>se</w:t>
      </w:r>
      <w:r>
        <w:rPr>
          <w:spacing w:val="-7"/>
        </w:rPr>
        <w:t> </w:t>
      </w:r>
      <w:r>
        <w:rPr/>
        <w:t>observó</w:t>
      </w:r>
      <w:r>
        <w:rPr>
          <w:spacing w:val="-8"/>
        </w:rPr>
        <w:t> </w:t>
      </w:r>
      <w:r>
        <w:rPr/>
        <w:t>una</w:t>
      </w:r>
      <w:r>
        <w:rPr>
          <w:spacing w:val="-7"/>
        </w:rPr>
        <w:t> </w:t>
      </w:r>
      <w:r>
        <w:rPr/>
        <w:t>disminución</w:t>
      </w:r>
      <w:r>
        <w:rPr>
          <w:spacing w:val="-8"/>
        </w:rPr>
        <w:t> </w:t>
      </w:r>
      <w:r>
        <w:rPr/>
        <w:t>de las</w:t>
      </w:r>
      <w:r>
        <w:rPr>
          <w:spacing w:val="-18"/>
        </w:rPr>
        <w:t> </w:t>
      </w:r>
      <w:r>
        <w:rPr/>
        <w:t>dosis</w:t>
      </w:r>
      <w:r>
        <w:rPr>
          <w:spacing w:val="-18"/>
        </w:rPr>
        <w:t> </w:t>
      </w:r>
      <w:r>
        <w:rPr/>
        <w:t>de</w:t>
      </w:r>
      <w:r>
        <w:rPr>
          <w:spacing w:val="-18"/>
        </w:rPr>
        <w:t> </w:t>
      </w:r>
      <w:r>
        <w:rPr/>
        <w:t>opiáceos</w:t>
      </w:r>
      <w:r>
        <w:rPr>
          <w:spacing w:val="-18"/>
        </w:rPr>
        <w:t> </w:t>
      </w:r>
      <w:r>
        <w:rPr/>
        <w:t>de</w:t>
      </w:r>
      <w:r>
        <w:rPr>
          <w:spacing w:val="-18"/>
        </w:rPr>
        <w:t> </w:t>
      </w:r>
      <w:r>
        <w:rPr/>
        <w:t>rescate</w:t>
      </w:r>
      <w:r>
        <w:rPr>
          <w:spacing w:val="-18"/>
        </w:rPr>
        <w:t> </w:t>
      </w:r>
      <w:r>
        <w:rPr/>
        <w:t>durante</w:t>
      </w:r>
      <w:r>
        <w:rPr>
          <w:spacing w:val="-18"/>
        </w:rPr>
        <w:t> </w:t>
      </w:r>
      <w:r>
        <w:rPr/>
        <w:t>el</w:t>
      </w:r>
      <w:r>
        <w:rPr>
          <w:spacing w:val="-17"/>
        </w:rPr>
        <w:t> </w:t>
      </w:r>
      <w:r>
        <w:rPr/>
        <w:t>postoperatorio</w:t>
      </w:r>
      <w:r>
        <w:rPr>
          <w:spacing w:val="-18"/>
        </w:rPr>
        <w:t> </w:t>
      </w:r>
      <w:r>
        <w:rPr/>
        <w:t>tanto</w:t>
      </w:r>
      <w:r>
        <w:rPr>
          <w:spacing w:val="-18"/>
        </w:rPr>
        <w:t> </w:t>
      </w:r>
      <w:r>
        <w:rPr/>
        <w:t>si ésta</w:t>
      </w:r>
      <w:r>
        <w:rPr>
          <w:spacing w:val="-11"/>
        </w:rPr>
        <w:t> </w:t>
      </w:r>
      <w:r>
        <w:rPr/>
        <w:t>era</w:t>
      </w:r>
      <w:r>
        <w:rPr>
          <w:spacing w:val="-11"/>
        </w:rPr>
        <w:t> </w:t>
      </w:r>
      <w:r>
        <w:rPr/>
        <w:t>administrada</w:t>
      </w:r>
      <w:r>
        <w:rPr>
          <w:spacing w:val="-11"/>
        </w:rPr>
        <w:t> </w:t>
      </w:r>
      <w:r>
        <w:rPr/>
        <w:t>previa</w:t>
      </w:r>
      <w:r>
        <w:rPr>
          <w:spacing w:val="-11"/>
        </w:rPr>
        <w:t> </w:t>
      </w:r>
      <w:r>
        <w:rPr/>
        <w:t>a</w:t>
      </w:r>
      <w:r>
        <w:rPr>
          <w:spacing w:val="-11"/>
        </w:rPr>
        <w:t> </w:t>
      </w:r>
      <w:r>
        <w:rPr/>
        <w:t>la</w:t>
      </w:r>
      <w:r>
        <w:rPr>
          <w:spacing w:val="-11"/>
        </w:rPr>
        <w:t> </w:t>
      </w:r>
      <w:r>
        <w:rPr/>
        <w:t>incisión</w:t>
      </w:r>
      <w:r>
        <w:rPr>
          <w:spacing w:val="-10"/>
        </w:rPr>
        <w:t> </w:t>
      </w:r>
      <w:r>
        <w:rPr>
          <w:spacing w:val="-3"/>
        </w:rPr>
        <w:t>quirúrgica</w:t>
      </w:r>
      <w:r>
        <w:rPr>
          <w:spacing w:val="-11"/>
        </w:rPr>
        <w:t> </w:t>
      </w:r>
      <w:r>
        <w:rPr>
          <w:spacing w:val="-2"/>
        </w:rPr>
        <w:t>(preventiva) </w:t>
      </w:r>
      <w:r>
        <w:rPr/>
        <w:t>como luego del cierre de la herida (en el postoperatorio). La necesidad de opiáceos se redujo entre un 40% y un 60% en promedio</w:t>
      </w:r>
      <w:r>
        <w:rPr>
          <w:spacing w:val="-5"/>
        </w:rPr>
        <w:t> </w:t>
      </w:r>
      <w:r>
        <w:rPr/>
        <w:t>(14).</w:t>
      </w:r>
    </w:p>
    <w:p>
      <w:pPr>
        <w:pStyle w:val="BodyText"/>
        <w:spacing w:line="225" w:lineRule="auto" w:before="3"/>
        <w:ind w:left="113" w:right="29"/>
      </w:pPr>
      <w:r>
        <w:rPr/>
        <w:t>En</w:t>
      </w:r>
      <w:r>
        <w:rPr>
          <w:spacing w:val="-23"/>
        </w:rPr>
        <w:t> </w:t>
      </w:r>
      <w:r>
        <w:rPr/>
        <w:t>pacientes</w:t>
      </w:r>
      <w:r>
        <w:rPr>
          <w:spacing w:val="-22"/>
        </w:rPr>
        <w:t> </w:t>
      </w:r>
      <w:r>
        <w:rPr/>
        <w:t>sometidos</w:t>
      </w:r>
      <w:r>
        <w:rPr>
          <w:spacing w:val="-22"/>
        </w:rPr>
        <w:t> </w:t>
      </w:r>
      <w:r>
        <w:rPr/>
        <w:t>a</w:t>
      </w:r>
      <w:r>
        <w:rPr>
          <w:spacing w:val="-23"/>
        </w:rPr>
        <w:t> </w:t>
      </w:r>
      <w:r>
        <w:rPr/>
        <w:t>toracotomía,</w:t>
      </w:r>
      <w:r>
        <w:rPr>
          <w:spacing w:val="-22"/>
        </w:rPr>
        <w:t> </w:t>
      </w:r>
      <w:r>
        <w:rPr/>
        <w:t>la</w:t>
      </w:r>
      <w:r>
        <w:rPr>
          <w:spacing w:val="-22"/>
        </w:rPr>
        <w:t> </w:t>
      </w:r>
      <w:r>
        <w:rPr/>
        <w:t>administración</w:t>
      </w:r>
      <w:r>
        <w:rPr>
          <w:spacing w:val="-23"/>
        </w:rPr>
        <w:t> </w:t>
      </w:r>
      <w:r>
        <w:rPr/>
        <w:t>de</w:t>
      </w:r>
      <w:r>
        <w:rPr>
          <w:spacing w:val="-22"/>
        </w:rPr>
        <w:t> </w:t>
      </w:r>
      <w:r>
        <w:rPr/>
        <w:t>dosis subanestésicas de KET (5mg en bolo EV) en el postoperatorio inmediato en adición a M+ (2/3 de la dosis estándar - </w:t>
      </w:r>
      <w:r>
        <w:rPr>
          <w:spacing w:val="-2"/>
        </w:rPr>
        <w:t>1.5mg) </w:t>
      </w:r>
      <w:r>
        <w:rPr/>
        <w:t>se asoció a un mejor efecto analgésico que utilizando dosis altas de M+ EV como fármaco único, con mayor estabilidad hemodinámica,</w:t>
      </w:r>
      <w:r>
        <w:rPr>
          <w:spacing w:val="-13"/>
        </w:rPr>
        <w:t> </w:t>
      </w:r>
      <w:r>
        <w:rPr/>
        <w:t>y</w:t>
      </w:r>
      <w:r>
        <w:rPr>
          <w:spacing w:val="-13"/>
        </w:rPr>
        <w:t> </w:t>
      </w:r>
      <w:r>
        <w:rPr/>
        <w:t>menor</w:t>
      </w:r>
      <w:r>
        <w:rPr>
          <w:spacing w:val="-13"/>
        </w:rPr>
        <w:t> </w:t>
      </w:r>
      <w:r>
        <w:rPr/>
        <w:t>depresión</w:t>
      </w:r>
      <w:r>
        <w:rPr>
          <w:spacing w:val="-13"/>
        </w:rPr>
        <w:t> </w:t>
      </w:r>
      <w:r>
        <w:rPr/>
        <w:t>en</w:t>
      </w:r>
      <w:r>
        <w:rPr>
          <w:spacing w:val="-12"/>
        </w:rPr>
        <w:t> </w:t>
      </w:r>
      <w:r>
        <w:rPr/>
        <w:t>la</w:t>
      </w:r>
      <w:r>
        <w:rPr>
          <w:spacing w:val="-13"/>
        </w:rPr>
        <w:t> </w:t>
      </w:r>
      <w:r>
        <w:rPr/>
        <w:t>vías</w:t>
      </w:r>
      <w:r>
        <w:rPr>
          <w:spacing w:val="-13"/>
        </w:rPr>
        <w:t> </w:t>
      </w:r>
      <w:r>
        <w:rPr/>
        <w:t>respiratorias</w:t>
      </w:r>
      <w:r>
        <w:rPr>
          <w:spacing w:val="-13"/>
        </w:rPr>
        <w:t> </w:t>
      </w:r>
      <w:r>
        <w:rPr/>
        <w:t>(29). Una</w:t>
      </w:r>
      <w:r>
        <w:rPr>
          <w:spacing w:val="-7"/>
        </w:rPr>
        <w:t> </w:t>
      </w:r>
      <w:r>
        <w:rPr/>
        <w:t>pequeña</w:t>
      </w:r>
      <w:r>
        <w:rPr>
          <w:spacing w:val="-6"/>
        </w:rPr>
        <w:t> </w:t>
      </w:r>
      <w:r>
        <w:rPr/>
        <w:t>dosis</w:t>
      </w:r>
      <w:r>
        <w:rPr>
          <w:spacing w:val="-7"/>
        </w:rPr>
        <w:t> </w:t>
      </w:r>
      <w:r>
        <w:rPr/>
        <w:t>de</w:t>
      </w:r>
      <w:r>
        <w:rPr>
          <w:spacing w:val="-6"/>
        </w:rPr>
        <w:t> </w:t>
      </w:r>
      <w:r>
        <w:rPr/>
        <w:t>KET</w:t>
      </w:r>
      <w:r>
        <w:rPr>
          <w:spacing w:val="-9"/>
        </w:rPr>
        <w:t> </w:t>
      </w:r>
      <w:r>
        <w:rPr/>
        <w:t>(0,5</w:t>
      </w:r>
      <w:r>
        <w:rPr>
          <w:spacing w:val="-7"/>
        </w:rPr>
        <w:t> </w:t>
      </w:r>
      <w:r>
        <w:rPr/>
        <w:t>mg/kg</w:t>
      </w:r>
      <w:r>
        <w:rPr>
          <w:spacing w:val="-6"/>
        </w:rPr>
        <w:t> </w:t>
      </w:r>
      <w:r>
        <w:rPr/>
        <w:t>seguido</w:t>
      </w:r>
      <w:r>
        <w:rPr>
          <w:spacing w:val="-6"/>
        </w:rPr>
        <w:t> </w:t>
      </w:r>
      <w:r>
        <w:rPr/>
        <w:t>de</w:t>
      </w:r>
      <w:r>
        <w:rPr>
          <w:spacing w:val="-6"/>
        </w:rPr>
        <w:t> </w:t>
      </w:r>
      <w:r>
        <w:rPr/>
        <w:t>una</w:t>
      </w:r>
      <w:r>
        <w:rPr>
          <w:spacing w:val="-7"/>
        </w:rPr>
        <w:t> </w:t>
      </w:r>
      <w:r>
        <w:rPr/>
        <w:t>infusión de</w:t>
      </w:r>
      <w:r>
        <w:rPr>
          <w:spacing w:val="-17"/>
        </w:rPr>
        <w:t> </w:t>
      </w:r>
      <w:r>
        <w:rPr/>
        <w:t>2ug/kg/min</w:t>
      </w:r>
      <w:r>
        <w:rPr>
          <w:spacing w:val="-17"/>
        </w:rPr>
        <w:t> </w:t>
      </w:r>
      <w:r>
        <w:rPr/>
        <w:t>durante</w:t>
      </w:r>
      <w:r>
        <w:rPr>
          <w:spacing w:val="-17"/>
        </w:rPr>
        <w:t> </w:t>
      </w:r>
      <w:r>
        <w:rPr/>
        <w:t>las</w:t>
      </w:r>
      <w:r>
        <w:rPr>
          <w:spacing w:val="-17"/>
        </w:rPr>
        <w:t> </w:t>
      </w:r>
      <w:r>
        <w:rPr/>
        <w:t>primeras</w:t>
      </w:r>
      <w:r>
        <w:rPr>
          <w:spacing w:val="-17"/>
        </w:rPr>
        <w:t> </w:t>
      </w:r>
      <w:r>
        <w:rPr/>
        <w:t>48h)</w:t>
      </w:r>
      <w:r>
        <w:rPr>
          <w:spacing w:val="-17"/>
        </w:rPr>
        <w:t> </w:t>
      </w:r>
      <w:r>
        <w:rPr/>
        <w:t>permitió</w:t>
      </w:r>
      <w:r>
        <w:rPr>
          <w:spacing w:val="-17"/>
        </w:rPr>
        <w:t> </w:t>
      </w:r>
      <w:r>
        <w:rPr/>
        <w:t>una</w:t>
      </w:r>
      <w:r>
        <w:rPr>
          <w:spacing w:val="-17"/>
        </w:rPr>
        <w:t> </w:t>
      </w:r>
      <w:r>
        <w:rPr/>
        <w:t>reducción significativa</w:t>
      </w:r>
      <w:r>
        <w:rPr>
          <w:spacing w:val="-23"/>
        </w:rPr>
        <w:t> </w:t>
      </w:r>
      <w:r>
        <w:rPr/>
        <w:t>en</w:t>
      </w:r>
      <w:r>
        <w:rPr>
          <w:spacing w:val="-23"/>
        </w:rPr>
        <w:t> </w:t>
      </w:r>
      <w:r>
        <w:rPr/>
        <w:t>el</w:t>
      </w:r>
      <w:r>
        <w:rPr>
          <w:spacing w:val="-23"/>
        </w:rPr>
        <w:t> </w:t>
      </w:r>
      <w:r>
        <w:rPr/>
        <w:t>consumo</w:t>
      </w:r>
      <w:r>
        <w:rPr>
          <w:spacing w:val="-23"/>
        </w:rPr>
        <w:t> </w:t>
      </w:r>
      <w:r>
        <w:rPr/>
        <w:t>de</w:t>
      </w:r>
      <w:r>
        <w:rPr>
          <w:spacing w:val="-23"/>
        </w:rPr>
        <w:t> </w:t>
      </w:r>
      <w:r>
        <w:rPr/>
        <w:t>M+</w:t>
      </w:r>
      <w:r>
        <w:rPr>
          <w:spacing w:val="-23"/>
        </w:rPr>
        <w:t> </w:t>
      </w:r>
      <w:r>
        <w:rPr/>
        <w:t>durante</w:t>
      </w:r>
      <w:r>
        <w:rPr>
          <w:spacing w:val="-23"/>
        </w:rPr>
        <w:t> </w:t>
      </w:r>
      <w:r>
        <w:rPr/>
        <w:t>la</w:t>
      </w:r>
      <w:r>
        <w:rPr>
          <w:spacing w:val="-23"/>
        </w:rPr>
        <w:t> </w:t>
      </w:r>
      <w:r>
        <w:rPr/>
        <w:t>estadía</w:t>
      </w:r>
      <w:r>
        <w:rPr>
          <w:spacing w:val="-23"/>
        </w:rPr>
        <w:t> </w:t>
      </w:r>
      <w:r>
        <w:rPr/>
        <w:t>en</w:t>
      </w:r>
      <w:r>
        <w:rPr>
          <w:spacing w:val="-23"/>
        </w:rPr>
        <w:t> </w:t>
      </w:r>
      <w:r>
        <w:rPr/>
        <w:t>la</w:t>
      </w:r>
      <w:r>
        <w:rPr>
          <w:spacing w:val="-23"/>
        </w:rPr>
        <w:t> </w:t>
      </w:r>
      <w:r>
        <w:rPr>
          <w:spacing w:val="-2"/>
        </w:rPr>
        <w:t>Unidad </w:t>
      </w:r>
      <w:r>
        <w:rPr/>
        <w:t>de Cuidados Intensivos (UCI) en pacientes sometidos a</w:t>
      </w:r>
      <w:r>
        <w:rPr>
          <w:spacing w:val="-30"/>
        </w:rPr>
        <w:t> </w:t>
      </w:r>
      <w:r>
        <w:rPr/>
        <w:t>cirugía abdominal</w:t>
      </w:r>
      <w:r>
        <w:rPr>
          <w:spacing w:val="-13"/>
        </w:rPr>
        <w:t> </w:t>
      </w:r>
      <w:r>
        <w:rPr>
          <w:spacing w:val="-4"/>
        </w:rPr>
        <w:t>mayor.</w:t>
      </w:r>
      <w:r>
        <w:rPr>
          <w:spacing w:val="-13"/>
        </w:rPr>
        <w:t> </w:t>
      </w:r>
      <w:r>
        <w:rPr/>
        <w:t>Un</w:t>
      </w:r>
      <w:r>
        <w:rPr>
          <w:spacing w:val="-12"/>
        </w:rPr>
        <w:t> </w:t>
      </w:r>
      <w:r>
        <w:rPr/>
        <w:t>mayor</w:t>
      </w:r>
      <w:r>
        <w:rPr>
          <w:spacing w:val="-13"/>
        </w:rPr>
        <w:t> </w:t>
      </w:r>
      <w:r>
        <w:rPr/>
        <w:t>consumo</w:t>
      </w:r>
      <w:r>
        <w:rPr>
          <w:spacing w:val="-12"/>
        </w:rPr>
        <w:t> </w:t>
      </w:r>
      <w:r>
        <w:rPr/>
        <w:t>de</w:t>
      </w:r>
      <w:r>
        <w:rPr>
          <w:spacing w:val="-13"/>
        </w:rPr>
        <w:t> </w:t>
      </w:r>
      <w:r>
        <w:rPr/>
        <w:t>M+</w:t>
      </w:r>
      <w:r>
        <w:rPr>
          <w:spacing w:val="-13"/>
        </w:rPr>
        <w:t> </w:t>
      </w:r>
      <w:r>
        <w:rPr/>
        <w:t>EV</w:t>
      </w:r>
      <w:r>
        <w:rPr>
          <w:spacing w:val="-15"/>
        </w:rPr>
        <w:t> </w:t>
      </w:r>
      <w:r>
        <w:rPr/>
        <w:t>fue</w:t>
      </w:r>
      <w:r>
        <w:rPr>
          <w:spacing w:val="-12"/>
        </w:rPr>
        <w:t> </w:t>
      </w:r>
      <w:r>
        <w:rPr/>
        <w:t>observado en</w:t>
      </w:r>
      <w:r>
        <w:rPr>
          <w:spacing w:val="-13"/>
        </w:rPr>
        <w:t> </w:t>
      </w:r>
      <w:r>
        <w:rPr/>
        <w:t>el</w:t>
      </w:r>
      <w:r>
        <w:rPr>
          <w:spacing w:val="-12"/>
        </w:rPr>
        <w:t> </w:t>
      </w:r>
      <w:r>
        <w:rPr/>
        <w:t>grupo</w:t>
      </w:r>
      <w:r>
        <w:rPr>
          <w:spacing w:val="-13"/>
        </w:rPr>
        <w:t> </w:t>
      </w:r>
      <w:r>
        <w:rPr/>
        <w:t>placebo.</w:t>
      </w:r>
      <w:r>
        <w:rPr>
          <w:spacing w:val="-12"/>
        </w:rPr>
        <w:t> </w:t>
      </w:r>
      <w:r>
        <w:rPr/>
        <w:t>No</w:t>
      </w:r>
      <w:r>
        <w:rPr>
          <w:spacing w:val="-13"/>
        </w:rPr>
        <w:t> </w:t>
      </w:r>
      <w:r>
        <w:rPr/>
        <w:t>se</w:t>
      </w:r>
      <w:r>
        <w:rPr>
          <w:spacing w:val="-12"/>
        </w:rPr>
        <w:t> </w:t>
      </w:r>
      <w:r>
        <w:rPr/>
        <w:t>observaron</w:t>
      </w:r>
      <w:r>
        <w:rPr>
          <w:spacing w:val="-12"/>
        </w:rPr>
        <w:t> </w:t>
      </w:r>
      <w:r>
        <w:rPr/>
        <w:t>diferencias</w:t>
      </w:r>
      <w:r>
        <w:rPr>
          <w:spacing w:val="-13"/>
        </w:rPr>
        <w:t> </w:t>
      </w:r>
      <w:r>
        <w:rPr/>
        <w:t>significativas entre los dos regímenes analgésicos en cuanto a la incidencia de NVPO. Como se ha demostrado en muchos estudios, la incidencia</w:t>
      </w:r>
      <w:r>
        <w:rPr>
          <w:spacing w:val="-21"/>
        </w:rPr>
        <w:t> </w:t>
      </w:r>
      <w:r>
        <w:rPr/>
        <w:t>de</w:t>
      </w:r>
      <w:r>
        <w:rPr>
          <w:spacing w:val="-21"/>
        </w:rPr>
        <w:t> </w:t>
      </w:r>
      <w:r>
        <w:rPr/>
        <w:t>los</w:t>
      </w:r>
      <w:r>
        <w:rPr>
          <w:spacing w:val="-20"/>
        </w:rPr>
        <w:t> </w:t>
      </w:r>
      <w:r>
        <w:rPr/>
        <w:t>efectos</w:t>
      </w:r>
      <w:r>
        <w:rPr>
          <w:spacing w:val="-21"/>
        </w:rPr>
        <w:t> </w:t>
      </w:r>
      <w:r>
        <w:rPr/>
        <w:t>psicomiméticos</w:t>
      </w:r>
      <w:r>
        <w:rPr>
          <w:spacing w:val="-20"/>
        </w:rPr>
        <w:t> </w:t>
      </w:r>
      <w:r>
        <w:rPr/>
        <w:t>y</w:t>
      </w:r>
      <w:r>
        <w:rPr>
          <w:spacing w:val="-21"/>
        </w:rPr>
        <w:t> </w:t>
      </w:r>
      <w:r>
        <w:rPr/>
        <w:t>el</w:t>
      </w:r>
      <w:r>
        <w:rPr>
          <w:spacing w:val="-20"/>
        </w:rPr>
        <w:t> </w:t>
      </w:r>
      <w:r>
        <w:rPr/>
        <w:t>deterioro</w:t>
      </w:r>
      <w:r>
        <w:rPr>
          <w:spacing w:val="-21"/>
        </w:rPr>
        <w:t> </w:t>
      </w:r>
      <w:r>
        <w:rPr/>
        <w:t>cognitivo</w:t>
      </w:r>
    </w:p>
    <w:p>
      <w:pPr>
        <w:pStyle w:val="BodyText"/>
        <w:spacing w:before="5"/>
        <w:rPr>
          <w:sz w:val="16"/>
        </w:rPr>
      </w:pPr>
      <w:r>
        <w:rPr/>
        <w:br w:type="column"/>
      </w:r>
      <w:r>
        <w:rPr>
          <w:sz w:val="16"/>
        </w:rPr>
      </w:r>
    </w:p>
    <w:p>
      <w:pPr>
        <w:pStyle w:val="BodyText"/>
        <w:spacing w:line="201" w:lineRule="exact"/>
        <w:ind w:left="113"/>
        <w:jc w:val="both"/>
      </w:pPr>
      <w:r>
        <w:rPr/>
        <w:t>era insignificante con pequeñas dosis. (34)</w:t>
      </w:r>
    </w:p>
    <w:p>
      <w:pPr>
        <w:pStyle w:val="BodyText"/>
        <w:spacing w:line="225" w:lineRule="auto" w:before="4"/>
        <w:ind w:left="113" w:right="110"/>
        <w:jc w:val="both"/>
      </w:pPr>
      <w:r>
        <w:rPr/>
        <w:t>En un ensayo doble ciego aleatorizado y controlado se intentó determinar si una dosis única en bolo de KET EV 0,25 </w:t>
      </w:r>
      <w:r>
        <w:rPr>
          <w:spacing w:val="-2"/>
        </w:rPr>
        <w:t>mg/ </w:t>
      </w:r>
      <w:r>
        <w:rPr>
          <w:spacing w:val="41"/>
        </w:rPr>
        <w:t> </w:t>
      </w:r>
      <w:r>
        <w:rPr/>
        <w:t>kg administrada en la sala de recuperación a los pacientes </w:t>
      </w:r>
      <w:r>
        <w:rPr>
          <w:spacing w:val="-2"/>
        </w:rPr>
        <w:t>con </w:t>
      </w:r>
      <w:r>
        <w:rPr/>
        <w:t>dolores</w:t>
      </w:r>
      <w:r>
        <w:rPr>
          <w:spacing w:val="-19"/>
        </w:rPr>
        <w:t> </w:t>
      </w:r>
      <w:r>
        <w:rPr/>
        <w:t>resistentes</w:t>
      </w:r>
      <w:r>
        <w:rPr>
          <w:spacing w:val="-18"/>
        </w:rPr>
        <w:t> </w:t>
      </w:r>
      <w:r>
        <w:rPr/>
        <w:t>a</w:t>
      </w:r>
      <w:r>
        <w:rPr>
          <w:spacing w:val="-19"/>
        </w:rPr>
        <w:t> </w:t>
      </w:r>
      <w:r>
        <w:rPr/>
        <w:t>dos</w:t>
      </w:r>
      <w:r>
        <w:rPr>
          <w:spacing w:val="-18"/>
        </w:rPr>
        <w:t> </w:t>
      </w:r>
      <w:r>
        <w:rPr/>
        <w:t>dosis</w:t>
      </w:r>
      <w:r>
        <w:rPr>
          <w:spacing w:val="-18"/>
        </w:rPr>
        <w:t> </w:t>
      </w:r>
      <w:r>
        <w:rPr/>
        <w:t>de</w:t>
      </w:r>
      <w:r>
        <w:rPr>
          <w:spacing w:val="-19"/>
        </w:rPr>
        <w:t> </w:t>
      </w:r>
      <w:r>
        <w:rPr/>
        <w:t>M+,</w:t>
      </w:r>
      <w:r>
        <w:rPr>
          <w:spacing w:val="-18"/>
        </w:rPr>
        <w:t> </w:t>
      </w:r>
      <w:r>
        <w:rPr/>
        <w:t>un</w:t>
      </w:r>
      <w:r>
        <w:rPr>
          <w:spacing w:val="-18"/>
        </w:rPr>
        <w:t> </w:t>
      </w:r>
      <w:r>
        <w:rPr/>
        <w:t>protocolo</w:t>
      </w:r>
      <w:r>
        <w:rPr>
          <w:spacing w:val="-19"/>
        </w:rPr>
        <w:t> </w:t>
      </w:r>
      <w:r>
        <w:rPr/>
        <w:t>estándar</w:t>
      </w:r>
      <w:r>
        <w:rPr>
          <w:spacing w:val="-18"/>
        </w:rPr>
        <w:t> </w:t>
      </w:r>
      <w:r>
        <w:rPr/>
        <w:t>para el</w:t>
      </w:r>
      <w:r>
        <w:rPr>
          <w:spacing w:val="-13"/>
        </w:rPr>
        <w:t> </w:t>
      </w:r>
      <w:r>
        <w:rPr>
          <w:spacing w:val="-3"/>
        </w:rPr>
        <w:t>dolor,</w:t>
      </w:r>
      <w:r>
        <w:rPr>
          <w:spacing w:val="-12"/>
        </w:rPr>
        <w:t> </w:t>
      </w:r>
      <w:r>
        <w:rPr/>
        <w:t>mejoraba</w:t>
      </w:r>
      <w:r>
        <w:rPr>
          <w:spacing w:val="-12"/>
        </w:rPr>
        <w:t> </w:t>
      </w:r>
      <w:r>
        <w:rPr/>
        <w:t>sensiblemente</w:t>
      </w:r>
      <w:r>
        <w:rPr>
          <w:spacing w:val="-12"/>
        </w:rPr>
        <w:t> </w:t>
      </w:r>
      <w:r>
        <w:rPr/>
        <w:t>la</w:t>
      </w:r>
      <w:r>
        <w:rPr>
          <w:spacing w:val="-12"/>
        </w:rPr>
        <w:t> </w:t>
      </w:r>
      <w:r>
        <w:rPr/>
        <w:t>analgesia</w:t>
      </w:r>
      <w:r>
        <w:rPr>
          <w:spacing w:val="-12"/>
        </w:rPr>
        <w:t> </w:t>
      </w:r>
      <w:r>
        <w:rPr/>
        <w:t>en</w:t>
      </w:r>
      <w:r>
        <w:rPr>
          <w:spacing w:val="-12"/>
        </w:rPr>
        <w:t> </w:t>
      </w:r>
      <w:r>
        <w:rPr/>
        <w:t>reposo</w:t>
      </w:r>
      <w:r>
        <w:rPr>
          <w:spacing w:val="-12"/>
        </w:rPr>
        <w:t> </w:t>
      </w:r>
      <w:r>
        <w:rPr/>
        <w:t>y</w:t>
      </w:r>
      <w:r>
        <w:rPr>
          <w:spacing w:val="-13"/>
        </w:rPr>
        <w:t> </w:t>
      </w:r>
      <w:r>
        <w:rPr>
          <w:spacing w:val="-2"/>
        </w:rPr>
        <w:t>cuatro </w:t>
      </w:r>
      <w:r>
        <w:rPr/>
        <w:t>horas después de la cirugía, en comparación con los controles que</w:t>
      </w:r>
      <w:r>
        <w:rPr>
          <w:spacing w:val="-4"/>
        </w:rPr>
        <w:t> </w:t>
      </w:r>
      <w:r>
        <w:rPr/>
        <w:t>reciben</w:t>
      </w:r>
      <w:r>
        <w:rPr>
          <w:spacing w:val="-4"/>
        </w:rPr>
        <w:t> </w:t>
      </w:r>
      <w:r>
        <w:rPr/>
        <w:t>M+</w:t>
      </w:r>
      <w:r>
        <w:rPr>
          <w:spacing w:val="-4"/>
        </w:rPr>
        <w:t> </w:t>
      </w:r>
      <w:r>
        <w:rPr/>
        <w:t>sola.</w:t>
      </w:r>
      <w:r>
        <w:rPr>
          <w:spacing w:val="-7"/>
        </w:rPr>
        <w:t> </w:t>
      </w:r>
      <w:r>
        <w:rPr>
          <w:spacing w:val="-5"/>
        </w:rPr>
        <w:t>Todos</w:t>
      </w:r>
      <w:r>
        <w:rPr>
          <w:spacing w:val="-3"/>
        </w:rPr>
        <w:t> </w:t>
      </w:r>
      <w:r>
        <w:rPr/>
        <w:t>los</w:t>
      </w:r>
      <w:r>
        <w:rPr>
          <w:spacing w:val="-4"/>
        </w:rPr>
        <w:t> </w:t>
      </w:r>
      <w:r>
        <w:rPr/>
        <w:t>pacientes</w:t>
      </w:r>
      <w:r>
        <w:rPr>
          <w:spacing w:val="-4"/>
        </w:rPr>
        <w:t> </w:t>
      </w:r>
      <w:r>
        <w:rPr/>
        <w:t>tenían</w:t>
      </w:r>
      <w:r>
        <w:rPr>
          <w:spacing w:val="-4"/>
        </w:rPr>
        <w:t> </w:t>
      </w:r>
      <w:r>
        <w:rPr/>
        <w:t>dolor</w:t>
      </w:r>
      <w:r>
        <w:rPr>
          <w:spacing w:val="-4"/>
        </w:rPr>
        <w:t> </w:t>
      </w:r>
      <w:r>
        <w:rPr/>
        <w:t>grave</w:t>
      </w:r>
      <w:r>
        <w:rPr>
          <w:spacing w:val="-4"/>
        </w:rPr>
        <w:t> </w:t>
      </w:r>
      <w:r>
        <w:rPr/>
        <w:t>no controlado</w:t>
      </w:r>
      <w:r>
        <w:rPr>
          <w:spacing w:val="-8"/>
        </w:rPr>
        <w:t> </w:t>
      </w:r>
      <w:r>
        <w:rPr/>
        <w:t>al</w:t>
      </w:r>
      <w:r>
        <w:rPr>
          <w:spacing w:val="-8"/>
        </w:rPr>
        <w:t> </w:t>
      </w:r>
      <w:r>
        <w:rPr/>
        <w:t>inicio</w:t>
      </w:r>
      <w:r>
        <w:rPr>
          <w:spacing w:val="-7"/>
        </w:rPr>
        <w:t> </w:t>
      </w:r>
      <w:r>
        <w:rPr/>
        <w:t>del</w:t>
      </w:r>
      <w:r>
        <w:rPr>
          <w:spacing w:val="-8"/>
        </w:rPr>
        <w:t> </w:t>
      </w:r>
      <w:r>
        <w:rPr/>
        <w:t>estudio</w:t>
      </w:r>
      <w:r>
        <w:rPr>
          <w:spacing w:val="-7"/>
        </w:rPr>
        <w:t> </w:t>
      </w:r>
      <w:r>
        <w:rPr/>
        <w:t>y</w:t>
      </w:r>
      <w:r>
        <w:rPr>
          <w:spacing w:val="-8"/>
        </w:rPr>
        <w:t> </w:t>
      </w:r>
      <w:r>
        <w:rPr/>
        <w:t>los</w:t>
      </w:r>
      <w:r>
        <w:rPr>
          <w:spacing w:val="-8"/>
        </w:rPr>
        <w:t> </w:t>
      </w:r>
      <w:r>
        <w:rPr/>
        <w:t>resultados</w:t>
      </w:r>
      <w:r>
        <w:rPr>
          <w:spacing w:val="-7"/>
        </w:rPr>
        <w:t> </w:t>
      </w:r>
      <w:r>
        <w:rPr/>
        <w:t>entre</w:t>
      </w:r>
      <w:r>
        <w:rPr>
          <w:spacing w:val="-8"/>
        </w:rPr>
        <w:t> </w:t>
      </w:r>
      <w:r>
        <w:rPr/>
        <w:t>los</w:t>
      </w:r>
      <w:r>
        <w:rPr>
          <w:spacing w:val="-7"/>
        </w:rPr>
        <w:t> </w:t>
      </w:r>
      <w:r>
        <w:rPr>
          <w:spacing w:val="-2"/>
        </w:rPr>
        <w:t>grupos </w:t>
      </w:r>
      <w:r>
        <w:rPr/>
        <w:t>fueron similares. Durante los 45 minutos que los datos </w:t>
      </w:r>
      <w:r>
        <w:rPr>
          <w:spacing w:val="-2"/>
        </w:rPr>
        <w:t>fueron </w:t>
      </w:r>
      <w:r>
        <w:rPr/>
        <w:t>recogidos</w:t>
      </w:r>
      <w:r>
        <w:rPr>
          <w:spacing w:val="-24"/>
        </w:rPr>
        <w:t> </w:t>
      </w:r>
      <w:r>
        <w:rPr/>
        <w:t>en</w:t>
      </w:r>
      <w:r>
        <w:rPr>
          <w:spacing w:val="-22"/>
        </w:rPr>
        <w:t> </w:t>
      </w:r>
      <w:r>
        <w:rPr/>
        <w:t>la</w:t>
      </w:r>
      <w:r>
        <w:rPr>
          <w:spacing w:val="-23"/>
        </w:rPr>
        <w:t> </w:t>
      </w:r>
      <w:r>
        <w:rPr/>
        <w:t>sala</w:t>
      </w:r>
      <w:r>
        <w:rPr>
          <w:spacing w:val="-23"/>
        </w:rPr>
        <w:t> </w:t>
      </w:r>
      <w:r>
        <w:rPr/>
        <w:t>de</w:t>
      </w:r>
      <w:r>
        <w:rPr>
          <w:spacing w:val="-23"/>
        </w:rPr>
        <w:t> </w:t>
      </w:r>
      <w:r>
        <w:rPr/>
        <w:t>recuperación,</w:t>
      </w:r>
      <w:r>
        <w:rPr>
          <w:spacing w:val="-23"/>
        </w:rPr>
        <w:t> </w:t>
      </w:r>
      <w:r>
        <w:rPr/>
        <w:t>se</w:t>
      </w:r>
      <w:r>
        <w:rPr>
          <w:spacing w:val="-23"/>
        </w:rPr>
        <w:t> </w:t>
      </w:r>
      <w:r>
        <w:rPr/>
        <w:t>observó</w:t>
      </w:r>
      <w:r>
        <w:rPr>
          <w:spacing w:val="-24"/>
        </w:rPr>
        <w:t> </w:t>
      </w:r>
      <w:r>
        <w:rPr/>
        <w:t>una</w:t>
      </w:r>
      <w:r>
        <w:rPr>
          <w:spacing w:val="-23"/>
        </w:rPr>
        <w:t> </w:t>
      </w:r>
      <w:r>
        <w:rPr/>
        <w:t>reducción</w:t>
      </w:r>
      <w:r>
        <w:rPr>
          <w:spacing w:val="-23"/>
        </w:rPr>
        <w:t> </w:t>
      </w:r>
      <w:r>
        <w:rPr/>
        <w:t>en las</w:t>
      </w:r>
      <w:r>
        <w:rPr>
          <w:spacing w:val="-9"/>
        </w:rPr>
        <w:t> </w:t>
      </w:r>
      <w:r>
        <w:rPr/>
        <w:t>puntuaciones</w:t>
      </w:r>
      <w:r>
        <w:rPr>
          <w:spacing w:val="-8"/>
        </w:rPr>
        <w:t> </w:t>
      </w:r>
      <w:r>
        <w:rPr/>
        <w:t>de</w:t>
      </w:r>
      <w:r>
        <w:rPr>
          <w:spacing w:val="-8"/>
        </w:rPr>
        <w:t> </w:t>
      </w:r>
      <w:r>
        <w:rPr/>
        <w:t>dolor</w:t>
      </w:r>
      <w:r>
        <w:rPr>
          <w:spacing w:val="-8"/>
        </w:rPr>
        <w:t> </w:t>
      </w:r>
      <w:r>
        <w:rPr/>
        <w:t>en</w:t>
      </w:r>
      <w:r>
        <w:rPr>
          <w:spacing w:val="-8"/>
        </w:rPr>
        <w:t> </w:t>
      </w:r>
      <w:r>
        <w:rPr/>
        <w:t>ambos</w:t>
      </w:r>
      <w:r>
        <w:rPr>
          <w:spacing w:val="-8"/>
        </w:rPr>
        <w:t> </w:t>
      </w:r>
      <w:r>
        <w:rPr/>
        <w:t>grupos.</w:t>
      </w:r>
      <w:r>
        <w:rPr>
          <w:spacing w:val="-8"/>
        </w:rPr>
        <w:t> </w:t>
      </w:r>
      <w:r>
        <w:rPr/>
        <w:t>No</w:t>
      </w:r>
      <w:r>
        <w:rPr>
          <w:spacing w:val="-8"/>
        </w:rPr>
        <w:t> </w:t>
      </w:r>
      <w:r>
        <w:rPr/>
        <w:t>hubo</w:t>
      </w:r>
      <w:r>
        <w:rPr>
          <w:spacing w:val="-8"/>
        </w:rPr>
        <w:t> </w:t>
      </w:r>
      <w:r>
        <w:rPr/>
        <w:t>diferencia significativa en las puntuaciones de dolor al momento del alta de</w:t>
      </w:r>
      <w:r>
        <w:rPr>
          <w:spacing w:val="-6"/>
        </w:rPr>
        <w:t> </w:t>
      </w:r>
      <w:r>
        <w:rPr/>
        <w:t>la</w:t>
      </w:r>
      <w:r>
        <w:rPr>
          <w:spacing w:val="-6"/>
        </w:rPr>
        <w:t> </w:t>
      </w:r>
      <w:r>
        <w:rPr/>
        <w:t>sala</w:t>
      </w:r>
      <w:r>
        <w:rPr>
          <w:spacing w:val="-6"/>
        </w:rPr>
        <w:t> </w:t>
      </w:r>
      <w:r>
        <w:rPr/>
        <w:t>de</w:t>
      </w:r>
      <w:r>
        <w:rPr>
          <w:spacing w:val="-5"/>
        </w:rPr>
        <w:t> </w:t>
      </w:r>
      <w:r>
        <w:rPr/>
        <w:t>recuperación,</w:t>
      </w:r>
      <w:r>
        <w:rPr>
          <w:spacing w:val="-6"/>
        </w:rPr>
        <w:t> </w:t>
      </w:r>
      <w:r>
        <w:rPr/>
        <w:t>ni</w:t>
      </w:r>
      <w:r>
        <w:rPr>
          <w:spacing w:val="-6"/>
        </w:rPr>
        <w:t> </w:t>
      </w:r>
      <w:r>
        <w:rPr/>
        <w:t>a</w:t>
      </w:r>
      <w:r>
        <w:rPr>
          <w:spacing w:val="-6"/>
        </w:rPr>
        <w:t> </w:t>
      </w:r>
      <w:r>
        <w:rPr/>
        <w:t>las</w:t>
      </w:r>
      <w:r>
        <w:rPr>
          <w:spacing w:val="-5"/>
        </w:rPr>
        <w:t> </w:t>
      </w:r>
      <w:r>
        <w:rPr/>
        <w:t>cuatro</w:t>
      </w:r>
      <w:r>
        <w:rPr>
          <w:spacing w:val="-6"/>
        </w:rPr>
        <w:t> </w:t>
      </w:r>
      <w:r>
        <w:rPr/>
        <w:t>horas</w:t>
      </w:r>
      <w:r>
        <w:rPr>
          <w:spacing w:val="-6"/>
        </w:rPr>
        <w:t> </w:t>
      </w:r>
      <w:r>
        <w:rPr/>
        <w:t>después</w:t>
      </w:r>
      <w:r>
        <w:rPr>
          <w:spacing w:val="-6"/>
        </w:rPr>
        <w:t> </w:t>
      </w:r>
      <w:r>
        <w:rPr/>
        <w:t>del</w:t>
      </w:r>
      <w:r>
        <w:rPr>
          <w:spacing w:val="-5"/>
        </w:rPr>
        <w:t> </w:t>
      </w:r>
      <w:r>
        <w:rPr/>
        <w:t>alta de la sala de recuperación. Aunque el consumo de M+ media tanto</w:t>
      </w:r>
      <w:r>
        <w:rPr>
          <w:spacing w:val="-8"/>
        </w:rPr>
        <w:t> </w:t>
      </w:r>
      <w:r>
        <w:rPr/>
        <w:t>a</w:t>
      </w:r>
      <w:r>
        <w:rPr>
          <w:spacing w:val="-8"/>
        </w:rPr>
        <w:t> </w:t>
      </w:r>
      <w:r>
        <w:rPr/>
        <w:t>las</w:t>
      </w:r>
      <w:r>
        <w:rPr>
          <w:spacing w:val="-8"/>
        </w:rPr>
        <w:t> </w:t>
      </w:r>
      <w:r>
        <w:rPr/>
        <w:t>cuatro</w:t>
      </w:r>
      <w:r>
        <w:rPr>
          <w:spacing w:val="-7"/>
        </w:rPr>
        <w:t> </w:t>
      </w:r>
      <w:r>
        <w:rPr/>
        <w:t>horas</w:t>
      </w:r>
      <w:r>
        <w:rPr>
          <w:spacing w:val="-8"/>
        </w:rPr>
        <w:t> </w:t>
      </w:r>
      <w:r>
        <w:rPr/>
        <w:t>y</w:t>
      </w:r>
      <w:r>
        <w:rPr>
          <w:spacing w:val="-8"/>
        </w:rPr>
        <w:t> </w:t>
      </w:r>
      <w:r>
        <w:rPr/>
        <w:t>24</w:t>
      </w:r>
      <w:r>
        <w:rPr>
          <w:spacing w:val="-8"/>
        </w:rPr>
        <w:t> </w:t>
      </w:r>
      <w:r>
        <w:rPr/>
        <w:t>horas</w:t>
      </w:r>
      <w:r>
        <w:rPr>
          <w:spacing w:val="-7"/>
        </w:rPr>
        <w:t> </w:t>
      </w:r>
      <w:r>
        <w:rPr/>
        <w:t>fue</w:t>
      </w:r>
      <w:r>
        <w:rPr>
          <w:spacing w:val="-8"/>
        </w:rPr>
        <w:t> </w:t>
      </w:r>
      <w:r>
        <w:rPr/>
        <w:t>ligeramente</w:t>
      </w:r>
      <w:r>
        <w:rPr>
          <w:spacing w:val="-8"/>
        </w:rPr>
        <w:t> </w:t>
      </w:r>
      <w:r>
        <w:rPr/>
        <w:t>inferior</w:t>
      </w:r>
      <w:r>
        <w:rPr>
          <w:spacing w:val="-8"/>
        </w:rPr>
        <w:t> </w:t>
      </w:r>
      <w:r>
        <w:rPr/>
        <w:t>en</w:t>
      </w:r>
      <w:r>
        <w:rPr>
          <w:spacing w:val="-7"/>
        </w:rPr>
        <w:t> </w:t>
      </w:r>
      <w:r>
        <w:rPr/>
        <w:t>el grupo</w:t>
      </w:r>
      <w:r>
        <w:rPr>
          <w:spacing w:val="-19"/>
        </w:rPr>
        <w:t> </w:t>
      </w:r>
      <w:r>
        <w:rPr/>
        <w:t>de</w:t>
      </w:r>
      <w:r>
        <w:rPr>
          <w:spacing w:val="-19"/>
        </w:rPr>
        <w:t> </w:t>
      </w:r>
      <w:r>
        <w:rPr/>
        <w:t>KET</w:t>
      </w:r>
      <w:r>
        <w:rPr>
          <w:spacing w:val="-21"/>
        </w:rPr>
        <w:t> </w:t>
      </w:r>
      <w:r>
        <w:rPr/>
        <w:t>(14,4</w:t>
      </w:r>
      <w:r>
        <w:rPr>
          <w:spacing w:val="-19"/>
        </w:rPr>
        <w:t> </w:t>
      </w:r>
      <w:r>
        <w:rPr/>
        <w:t>mg</w:t>
      </w:r>
      <w:r>
        <w:rPr>
          <w:spacing w:val="-18"/>
        </w:rPr>
        <w:t> </w:t>
      </w:r>
      <w:r>
        <w:rPr/>
        <w:t>vs</w:t>
      </w:r>
      <w:r>
        <w:rPr>
          <w:spacing w:val="-19"/>
        </w:rPr>
        <w:t> </w:t>
      </w:r>
      <w:r>
        <w:rPr/>
        <w:t>8,9</w:t>
      </w:r>
      <w:r>
        <w:rPr>
          <w:spacing w:val="-19"/>
        </w:rPr>
        <w:t> </w:t>
      </w:r>
      <w:r>
        <w:rPr/>
        <w:t>mg),</w:t>
      </w:r>
      <w:r>
        <w:rPr>
          <w:spacing w:val="-18"/>
        </w:rPr>
        <w:t> </w:t>
      </w:r>
      <w:r>
        <w:rPr/>
        <w:t>esto</w:t>
      </w:r>
      <w:r>
        <w:rPr>
          <w:spacing w:val="-19"/>
        </w:rPr>
        <w:t> </w:t>
      </w:r>
      <w:r>
        <w:rPr/>
        <w:t>no</w:t>
      </w:r>
      <w:r>
        <w:rPr>
          <w:spacing w:val="-19"/>
        </w:rPr>
        <w:t> </w:t>
      </w:r>
      <w:r>
        <w:rPr/>
        <w:t>alcanzó</w:t>
      </w:r>
      <w:r>
        <w:rPr>
          <w:spacing w:val="-18"/>
        </w:rPr>
        <w:t> </w:t>
      </w:r>
      <w:r>
        <w:rPr/>
        <w:t>significación estadística.</w:t>
      </w:r>
      <w:r>
        <w:rPr>
          <w:spacing w:val="-17"/>
        </w:rPr>
        <w:t> </w:t>
      </w:r>
      <w:r>
        <w:rPr/>
        <w:t>No</w:t>
      </w:r>
      <w:r>
        <w:rPr>
          <w:spacing w:val="-16"/>
        </w:rPr>
        <w:t> </w:t>
      </w:r>
      <w:r>
        <w:rPr/>
        <w:t>se</w:t>
      </w:r>
      <w:r>
        <w:rPr>
          <w:spacing w:val="-17"/>
        </w:rPr>
        <w:t> </w:t>
      </w:r>
      <w:r>
        <w:rPr/>
        <w:t>observaron</w:t>
      </w:r>
      <w:r>
        <w:rPr>
          <w:spacing w:val="-16"/>
        </w:rPr>
        <w:t> </w:t>
      </w:r>
      <w:r>
        <w:rPr/>
        <w:t>diferencias</w:t>
      </w:r>
      <w:r>
        <w:rPr>
          <w:spacing w:val="-16"/>
        </w:rPr>
        <w:t> </w:t>
      </w:r>
      <w:r>
        <w:rPr/>
        <w:t>en</w:t>
      </w:r>
      <w:r>
        <w:rPr>
          <w:spacing w:val="-17"/>
        </w:rPr>
        <w:t> </w:t>
      </w:r>
      <w:r>
        <w:rPr/>
        <w:t>la</w:t>
      </w:r>
      <w:r>
        <w:rPr>
          <w:spacing w:val="-16"/>
        </w:rPr>
        <w:t> </w:t>
      </w:r>
      <w:r>
        <w:rPr/>
        <w:t>sedación</w:t>
      </w:r>
      <w:r>
        <w:rPr>
          <w:spacing w:val="-16"/>
        </w:rPr>
        <w:t> </w:t>
      </w:r>
      <w:r>
        <w:rPr/>
        <w:t>entre</w:t>
      </w:r>
      <w:r>
        <w:rPr>
          <w:spacing w:val="-17"/>
        </w:rPr>
        <w:t> </w:t>
      </w:r>
      <w:r>
        <w:rPr>
          <w:spacing w:val="-2"/>
        </w:rPr>
        <w:t>los </w:t>
      </w:r>
      <w:r>
        <w:rPr/>
        <w:t>dos grupos. La necesidad de antieméticos y la duración de la estancia en la sala de recuperación no fueron afectadas por la administración de KET</w:t>
      </w:r>
      <w:r>
        <w:rPr>
          <w:spacing w:val="-17"/>
        </w:rPr>
        <w:t> </w:t>
      </w:r>
      <w:r>
        <w:rPr/>
        <w:t>(36).</w:t>
      </w:r>
    </w:p>
    <w:p>
      <w:pPr>
        <w:pStyle w:val="Heading1"/>
        <w:spacing w:before="141"/>
      </w:pPr>
      <w:r>
        <w:rPr/>
        <w:t>Discusión</w:t>
      </w:r>
    </w:p>
    <w:p>
      <w:pPr>
        <w:pStyle w:val="BodyText"/>
        <w:spacing w:line="225" w:lineRule="auto"/>
        <w:ind w:left="113" w:right="111"/>
        <w:jc w:val="both"/>
      </w:pPr>
      <w:r>
        <w:rPr/>
        <w:t>Los ensayos clínicos pueden ser ampliamente divididos en </w:t>
      </w:r>
      <w:r>
        <w:rPr>
          <w:spacing w:val="-2"/>
        </w:rPr>
        <w:t>los </w:t>
      </w:r>
      <w:r>
        <w:rPr/>
        <w:t>que</w:t>
      </w:r>
      <w:r>
        <w:rPr>
          <w:spacing w:val="-6"/>
        </w:rPr>
        <w:t> </w:t>
      </w:r>
      <w:r>
        <w:rPr/>
        <w:t>se</w:t>
      </w:r>
      <w:r>
        <w:rPr>
          <w:spacing w:val="-5"/>
        </w:rPr>
        <w:t> </w:t>
      </w:r>
      <w:r>
        <w:rPr/>
        <w:t>centran</w:t>
      </w:r>
      <w:r>
        <w:rPr>
          <w:spacing w:val="-6"/>
        </w:rPr>
        <w:t> </w:t>
      </w:r>
      <w:r>
        <w:rPr/>
        <w:t>en</w:t>
      </w:r>
      <w:r>
        <w:rPr>
          <w:spacing w:val="-5"/>
        </w:rPr>
        <w:t> </w:t>
      </w:r>
      <w:r>
        <w:rPr/>
        <w:t>el</w:t>
      </w:r>
      <w:r>
        <w:rPr>
          <w:spacing w:val="-6"/>
        </w:rPr>
        <w:t> </w:t>
      </w:r>
      <w:r>
        <w:rPr/>
        <w:t>efecto</w:t>
      </w:r>
      <w:r>
        <w:rPr>
          <w:spacing w:val="-5"/>
        </w:rPr>
        <w:t> </w:t>
      </w:r>
      <w:r>
        <w:rPr/>
        <w:t>preventivo</w:t>
      </w:r>
      <w:r>
        <w:rPr>
          <w:spacing w:val="-6"/>
        </w:rPr>
        <w:t> </w:t>
      </w:r>
      <w:r>
        <w:rPr/>
        <w:t>y</w:t>
      </w:r>
      <w:r>
        <w:rPr>
          <w:spacing w:val="-5"/>
        </w:rPr>
        <w:t> </w:t>
      </w:r>
      <w:r>
        <w:rPr/>
        <w:t>aquéllos</w:t>
      </w:r>
      <w:r>
        <w:rPr>
          <w:spacing w:val="-6"/>
        </w:rPr>
        <w:t> </w:t>
      </w:r>
      <w:r>
        <w:rPr/>
        <w:t>que</w:t>
      </w:r>
      <w:r>
        <w:rPr>
          <w:spacing w:val="-5"/>
        </w:rPr>
        <w:t> </w:t>
      </w:r>
      <w:r>
        <w:rPr/>
        <w:t>utilizan</w:t>
      </w:r>
      <w:r>
        <w:rPr>
          <w:spacing w:val="-6"/>
        </w:rPr>
        <w:t> </w:t>
      </w:r>
      <w:r>
        <w:rPr/>
        <w:t>la KET como analgésico postoperatorio. Sin </w:t>
      </w:r>
      <w:r>
        <w:rPr>
          <w:spacing w:val="-3"/>
        </w:rPr>
        <w:t>embargo, </w:t>
      </w:r>
      <w:r>
        <w:rPr/>
        <w:t>evidencia científica hasta ahora publicada en relación al rol de la KET</w:t>
      </w:r>
      <w:r>
        <w:rPr>
          <w:spacing w:val="-33"/>
        </w:rPr>
        <w:t> </w:t>
      </w:r>
      <w:r>
        <w:rPr/>
        <w:t>en el</w:t>
      </w:r>
      <w:r>
        <w:rPr>
          <w:spacing w:val="-14"/>
        </w:rPr>
        <w:t> </w:t>
      </w:r>
      <w:r>
        <w:rPr/>
        <w:t>manejo</w:t>
      </w:r>
      <w:r>
        <w:rPr>
          <w:spacing w:val="-14"/>
        </w:rPr>
        <w:t> </w:t>
      </w:r>
      <w:r>
        <w:rPr/>
        <w:t>del</w:t>
      </w:r>
      <w:r>
        <w:rPr>
          <w:spacing w:val="-14"/>
        </w:rPr>
        <w:t> </w:t>
      </w:r>
      <w:r>
        <w:rPr/>
        <w:t>DAPO</w:t>
      </w:r>
      <w:r>
        <w:rPr>
          <w:spacing w:val="-14"/>
        </w:rPr>
        <w:t> </w:t>
      </w:r>
      <w:r>
        <w:rPr/>
        <w:t>sigue</w:t>
      </w:r>
      <w:r>
        <w:rPr>
          <w:spacing w:val="-14"/>
        </w:rPr>
        <w:t> </w:t>
      </w:r>
      <w:r>
        <w:rPr/>
        <w:t>siendo</w:t>
      </w:r>
      <w:r>
        <w:rPr>
          <w:spacing w:val="-14"/>
        </w:rPr>
        <w:t> </w:t>
      </w:r>
      <w:r>
        <w:rPr/>
        <w:t>controversial.</w:t>
      </w:r>
      <w:r>
        <w:rPr>
          <w:spacing w:val="-14"/>
        </w:rPr>
        <w:t> </w:t>
      </w:r>
      <w:r>
        <w:rPr/>
        <w:t>En</w:t>
      </w:r>
      <w:r>
        <w:rPr>
          <w:spacing w:val="-14"/>
        </w:rPr>
        <w:t> </w:t>
      </w:r>
      <w:r>
        <w:rPr/>
        <w:t>la</w:t>
      </w:r>
      <w:r>
        <w:rPr>
          <w:spacing w:val="-17"/>
        </w:rPr>
        <w:t> </w:t>
      </w:r>
      <w:r>
        <w:rPr>
          <w:spacing w:val="-5"/>
        </w:rPr>
        <w:t>Tabla</w:t>
      </w:r>
      <w:r>
        <w:rPr>
          <w:spacing w:val="-14"/>
        </w:rPr>
        <w:t> </w:t>
      </w:r>
      <w:r>
        <w:rPr/>
        <w:t>1</w:t>
      </w:r>
      <w:r>
        <w:rPr>
          <w:spacing w:val="-14"/>
        </w:rPr>
        <w:t> </w:t>
      </w:r>
      <w:r>
        <w:rPr/>
        <w:t>se han</w:t>
      </w:r>
      <w:r>
        <w:rPr>
          <w:spacing w:val="-16"/>
        </w:rPr>
        <w:t> </w:t>
      </w:r>
      <w:r>
        <w:rPr/>
        <w:t>agrupado</w:t>
      </w:r>
      <w:r>
        <w:rPr>
          <w:spacing w:val="-15"/>
        </w:rPr>
        <w:t> </w:t>
      </w:r>
      <w:r>
        <w:rPr/>
        <w:t>los</w:t>
      </w:r>
      <w:r>
        <w:rPr>
          <w:spacing w:val="-16"/>
        </w:rPr>
        <w:t> </w:t>
      </w:r>
      <w:r>
        <w:rPr/>
        <w:t>estudios</w:t>
      </w:r>
      <w:r>
        <w:rPr>
          <w:spacing w:val="-15"/>
        </w:rPr>
        <w:t> </w:t>
      </w:r>
      <w:r>
        <w:rPr/>
        <w:t>más</w:t>
      </w:r>
      <w:r>
        <w:rPr>
          <w:spacing w:val="-15"/>
        </w:rPr>
        <w:t> </w:t>
      </w:r>
      <w:r>
        <w:rPr/>
        <w:t>relevantes</w:t>
      </w:r>
      <w:r>
        <w:rPr>
          <w:spacing w:val="-16"/>
        </w:rPr>
        <w:t> </w:t>
      </w:r>
      <w:r>
        <w:rPr/>
        <w:t>desde</w:t>
      </w:r>
      <w:r>
        <w:rPr>
          <w:spacing w:val="-15"/>
        </w:rPr>
        <w:t> </w:t>
      </w:r>
      <w:r>
        <w:rPr/>
        <w:t>el</w:t>
      </w:r>
      <w:r>
        <w:rPr>
          <w:spacing w:val="-15"/>
        </w:rPr>
        <w:t> </w:t>
      </w:r>
      <w:r>
        <w:rPr/>
        <w:t>punto</w:t>
      </w:r>
      <w:r>
        <w:rPr>
          <w:spacing w:val="-16"/>
        </w:rPr>
        <w:t> </w:t>
      </w:r>
      <w:r>
        <w:rPr/>
        <w:t>de</w:t>
      </w:r>
      <w:r>
        <w:rPr>
          <w:spacing w:val="-15"/>
        </w:rPr>
        <w:t> </w:t>
      </w:r>
      <w:r>
        <w:rPr/>
        <w:t>vista clínico sobre lo cual versa esta</w:t>
      </w:r>
      <w:r>
        <w:rPr>
          <w:spacing w:val="-33"/>
        </w:rPr>
        <w:t> </w:t>
      </w:r>
      <w:r>
        <w:rPr/>
        <w:t>discusión.</w:t>
      </w:r>
    </w:p>
    <w:p>
      <w:pPr>
        <w:pStyle w:val="BodyText"/>
        <w:spacing w:line="225" w:lineRule="auto"/>
        <w:ind w:left="113" w:right="111"/>
        <w:jc w:val="both"/>
      </w:pPr>
      <w:r>
        <w:rPr/>
        <w:t>En</w:t>
      </w:r>
      <w:r>
        <w:rPr>
          <w:spacing w:val="-6"/>
        </w:rPr>
        <w:t> </w:t>
      </w:r>
      <w:r>
        <w:rPr/>
        <w:t>algunos</w:t>
      </w:r>
      <w:r>
        <w:rPr>
          <w:spacing w:val="-5"/>
        </w:rPr>
        <w:t> </w:t>
      </w:r>
      <w:r>
        <w:rPr/>
        <w:t>pacientes,</w:t>
      </w:r>
      <w:r>
        <w:rPr>
          <w:spacing w:val="-5"/>
        </w:rPr>
        <w:t> </w:t>
      </w:r>
      <w:r>
        <w:rPr/>
        <w:t>el</w:t>
      </w:r>
      <w:r>
        <w:rPr>
          <w:spacing w:val="-5"/>
        </w:rPr>
        <w:t> </w:t>
      </w:r>
      <w:r>
        <w:rPr/>
        <w:t>control</w:t>
      </w:r>
      <w:r>
        <w:rPr>
          <w:spacing w:val="-5"/>
        </w:rPr>
        <w:t> </w:t>
      </w:r>
      <w:r>
        <w:rPr/>
        <w:t>del</w:t>
      </w:r>
      <w:r>
        <w:rPr>
          <w:spacing w:val="-5"/>
        </w:rPr>
        <w:t> </w:t>
      </w:r>
      <w:r>
        <w:rPr/>
        <w:t>dolor</w:t>
      </w:r>
      <w:r>
        <w:rPr>
          <w:spacing w:val="-5"/>
        </w:rPr>
        <w:t> </w:t>
      </w:r>
      <w:r>
        <w:rPr/>
        <w:t>postoperatorio</w:t>
      </w:r>
      <w:r>
        <w:rPr>
          <w:spacing w:val="-5"/>
        </w:rPr>
        <w:t> </w:t>
      </w:r>
      <w:r>
        <w:rPr/>
        <w:t>puede ser difícil con M+ sola. El control del dolor postoperatorio </w:t>
      </w:r>
      <w:r>
        <w:rPr>
          <w:spacing w:val="-2"/>
        </w:rPr>
        <w:t>con </w:t>
      </w:r>
      <w:r>
        <w:rPr/>
        <w:t>M+</w:t>
      </w:r>
      <w:r>
        <w:rPr>
          <w:spacing w:val="-7"/>
        </w:rPr>
        <w:t> </w:t>
      </w:r>
      <w:r>
        <w:rPr/>
        <w:t>sola</w:t>
      </w:r>
      <w:r>
        <w:rPr>
          <w:spacing w:val="-6"/>
        </w:rPr>
        <w:t> </w:t>
      </w:r>
      <w:r>
        <w:rPr/>
        <w:t>puede</w:t>
      </w:r>
      <w:r>
        <w:rPr>
          <w:spacing w:val="-6"/>
        </w:rPr>
        <w:t> </w:t>
      </w:r>
      <w:r>
        <w:rPr/>
        <w:t>requerir</w:t>
      </w:r>
      <w:r>
        <w:rPr>
          <w:spacing w:val="-6"/>
        </w:rPr>
        <w:t> </w:t>
      </w:r>
      <w:r>
        <w:rPr/>
        <w:t>la</w:t>
      </w:r>
      <w:r>
        <w:rPr>
          <w:spacing w:val="-6"/>
        </w:rPr>
        <w:t> </w:t>
      </w:r>
      <w:r>
        <w:rPr/>
        <w:t>administración</w:t>
      </w:r>
      <w:r>
        <w:rPr>
          <w:spacing w:val="-5"/>
        </w:rPr>
        <w:t> </w:t>
      </w:r>
      <w:r>
        <w:rPr/>
        <w:t>repetida</w:t>
      </w:r>
      <w:r>
        <w:rPr>
          <w:spacing w:val="-6"/>
        </w:rPr>
        <w:t> </w:t>
      </w:r>
      <w:r>
        <w:rPr/>
        <w:t>y</w:t>
      </w:r>
      <w:r>
        <w:rPr>
          <w:spacing w:val="-6"/>
        </w:rPr>
        <w:t> </w:t>
      </w:r>
      <w:r>
        <w:rPr/>
        <w:t>en</w:t>
      </w:r>
      <w:r>
        <w:rPr>
          <w:spacing w:val="-6"/>
        </w:rPr>
        <w:t> </w:t>
      </w:r>
      <w:r>
        <w:rPr/>
        <w:t>algunos casos es insuficiente. Grandes dosis de M+ pueden aumentar los efectos secundarios como náuseas, vómitos, depresión respiratoria y sedación. La necesidad de grandes dosis de morfina puede existir debido a la tolerancia aguda o crónica de opioides, o simplemente puede ser un requisito de algunos pacientes</w:t>
      </w:r>
      <w:r>
        <w:rPr>
          <w:spacing w:val="-5"/>
        </w:rPr>
        <w:t> </w:t>
      </w:r>
      <w:r>
        <w:rPr/>
        <w:t>individuales.</w:t>
      </w:r>
    </w:p>
    <w:p>
      <w:pPr>
        <w:pStyle w:val="BodyText"/>
        <w:spacing w:line="225" w:lineRule="auto" w:before="4"/>
        <w:ind w:left="113" w:right="111"/>
        <w:jc w:val="both"/>
      </w:pPr>
      <w:r>
        <w:rPr/>
        <w:t>En la práctica clínica con </w:t>
      </w:r>
      <w:r>
        <w:rPr>
          <w:spacing w:val="-5"/>
        </w:rPr>
        <w:t>KET, </w:t>
      </w:r>
      <w:r>
        <w:rPr/>
        <w:t>diversos autores han</w:t>
      </w:r>
      <w:r>
        <w:rPr>
          <w:spacing w:val="-29"/>
        </w:rPr>
        <w:t> </w:t>
      </w:r>
      <w:r>
        <w:rPr/>
        <w:t>observado que en el período postoperatorio temprano donde hay dolor resistente a la M+, una dosis en bolo de KET a menudo puede conducir a una reducción considerable del dolor y esto </w:t>
      </w:r>
      <w:r>
        <w:rPr>
          <w:spacing w:val="-2"/>
        </w:rPr>
        <w:t>parece </w:t>
      </w:r>
      <w:r>
        <w:rPr/>
        <w:t>ser</w:t>
      </w:r>
      <w:r>
        <w:rPr>
          <w:spacing w:val="-6"/>
        </w:rPr>
        <w:t> </w:t>
      </w:r>
      <w:r>
        <w:rPr/>
        <w:t>eficaz</w:t>
      </w:r>
      <w:r>
        <w:rPr>
          <w:spacing w:val="-6"/>
        </w:rPr>
        <w:t> </w:t>
      </w:r>
      <w:r>
        <w:rPr/>
        <w:t>durante</w:t>
      </w:r>
      <w:r>
        <w:rPr>
          <w:spacing w:val="-6"/>
        </w:rPr>
        <w:t> </w:t>
      </w:r>
      <w:r>
        <w:rPr/>
        <w:t>varias</w:t>
      </w:r>
      <w:r>
        <w:rPr>
          <w:spacing w:val="-6"/>
        </w:rPr>
        <w:t> </w:t>
      </w:r>
      <w:r>
        <w:rPr/>
        <w:t>horas.</w:t>
      </w:r>
      <w:r>
        <w:rPr>
          <w:spacing w:val="-6"/>
        </w:rPr>
        <w:t> </w:t>
      </w:r>
      <w:r>
        <w:rPr/>
        <w:t>Este</w:t>
      </w:r>
      <w:r>
        <w:rPr>
          <w:spacing w:val="-6"/>
        </w:rPr>
        <w:t> </w:t>
      </w:r>
      <w:r>
        <w:rPr/>
        <w:t>efecto</w:t>
      </w:r>
      <w:r>
        <w:rPr>
          <w:spacing w:val="-6"/>
        </w:rPr>
        <w:t> </w:t>
      </w:r>
      <w:r>
        <w:rPr/>
        <w:t>se</w:t>
      </w:r>
      <w:r>
        <w:rPr>
          <w:spacing w:val="-6"/>
        </w:rPr>
        <w:t> </w:t>
      </w:r>
      <w:r>
        <w:rPr/>
        <w:t>ve</w:t>
      </w:r>
      <w:r>
        <w:rPr>
          <w:spacing w:val="-6"/>
        </w:rPr>
        <w:t> </w:t>
      </w:r>
      <w:r>
        <w:rPr/>
        <w:t>más</w:t>
      </w:r>
      <w:r>
        <w:rPr>
          <w:spacing w:val="-6"/>
        </w:rPr>
        <w:t> </w:t>
      </w:r>
      <w:r>
        <w:rPr/>
        <w:t>allá</w:t>
      </w:r>
      <w:r>
        <w:rPr>
          <w:spacing w:val="-6"/>
        </w:rPr>
        <w:t> </w:t>
      </w:r>
      <w:r>
        <w:rPr/>
        <w:t>de</w:t>
      </w:r>
      <w:r>
        <w:rPr>
          <w:spacing w:val="-6"/>
        </w:rPr>
        <w:t> </w:t>
      </w:r>
      <w:r>
        <w:rPr>
          <w:spacing w:val="-2"/>
        </w:rPr>
        <w:t>las </w:t>
      </w:r>
      <w:r>
        <w:rPr/>
        <w:t>cinco vidas medias (t 1/2 [alfa] = </w:t>
      </w:r>
      <w:r>
        <w:rPr>
          <w:spacing w:val="-3"/>
        </w:rPr>
        <w:t>11-17 </w:t>
      </w:r>
      <w:r>
        <w:rPr/>
        <w:t>min KET), que sería  la duración prevista clínica de la droga. Este concepto</w:t>
      </w:r>
      <w:r>
        <w:rPr>
          <w:spacing w:val="-6"/>
        </w:rPr>
        <w:t> </w:t>
      </w:r>
      <w:r>
        <w:rPr/>
        <w:t>también</w:t>
      </w:r>
    </w:p>
    <w:p>
      <w:pPr>
        <w:spacing w:after="0" w:line="225" w:lineRule="auto"/>
        <w:jc w:val="both"/>
        <w:sectPr>
          <w:type w:val="continuous"/>
          <w:pgSz w:w="11910" w:h="15310"/>
          <w:pgMar w:top="0" w:bottom="280" w:left="1020" w:right="1020"/>
          <w:cols w:num="2" w:equalWidth="0">
            <w:col w:w="4667" w:space="458"/>
            <w:col w:w="4745"/>
          </w:cols>
        </w:sectPr>
      </w:pPr>
    </w:p>
    <w:p>
      <w:pPr>
        <w:pStyle w:val="BodyText"/>
        <w:spacing w:before="9"/>
        <w:rPr>
          <w:sz w:val="10"/>
        </w:rPr>
      </w:pPr>
    </w:p>
    <w:p>
      <w:pPr>
        <w:spacing w:before="100"/>
        <w:ind w:left="113" w:right="0" w:firstLine="0"/>
        <w:jc w:val="left"/>
        <w:rPr>
          <w:rFonts w:ascii="Verdana" w:hAnsi="Verdana"/>
          <w:i/>
          <w:sz w:val="16"/>
        </w:rPr>
      </w:pPr>
      <w:r>
        <w:rPr>
          <w:rFonts w:ascii="Verdana" w:hAnsi="Verdana"/>
          <w:i/>
          <w:color w:val="6D6E71"/>
          <w:sz w:val="16"/>
        </w:rPr>
        <w:t>Tabla 1: Comparación de Estudios más Relevantes desde el Punto de Vista Clínico, respecto al Uso de Ketamina</w:t>
      </w:r>
    </w:p>
    <w:p>
      <w:pPr>
        <w:pStyle w:val="BodyText"/>
        <w:spacing w:before="10" w:after="1"/>
        <w:rPr>
          <w:rFonts w:ascii="Verdana"/>
          <w:i/>
          <w:sz w:val="8"/>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1205"/>
        <w:gridCol w:w="1190"/>
        <w:gridCol w:w="1148"/>
        <w:gridCol w:w="1205"/>
        <w:gridCol w:w="1177"/>
        <w:gridCol w:w="1262"/>
        <w:gridCol w:w="1181"/>
      </w:tblGrid>
      <w:tr>
        <w:trPr>
          <w:trHeight w:val="694" w:hRule="atLeast"/>
        </w:trPr>
        <w:tc>
          <w:tcPr>
            <w:tcW w:w="1262" w:type="dxa"/>
          </w:tcPr>
          <w:p>
            <w:pPr>
              <w:pStyle w:val="TableParagraph"/>
              <w:spacing w:before="112"/>
              <w:ind w:left="333"/>
              <w:jc w:val="left"/>
              <w:rPr>
                <w:b/>
                <w:sz w:val="14"/>
              </w:rPr>
            </w:pPr>
            <w:r>
              <w:rPr>
                <w:b/>
                <w:sz w:val="14"/>
              </w:rPr>
              <w:t>Estudio</w:t>
            </w:r>
          </w:p>
        </w:tc>
        <w:tc>
          <w:tcPr>
            <w:tcW w:w="1205" w:type="dxa"/>
          </w:tcPr>
          <w:p>
            <w:pPr>
              <w:pStyle w:val="TableParagraph"/>
              <w:spacing w:line="225" w:lineRule="auto" w:before="105"/>
              <w:ind w:left="76" w:right="115" w:firstLine="203"/>
              <w:jc w:val="left"/>
              <w:rPr>
                <w:b/>
                <w:sz w:val="14"/>
              </w:rPr>
            </w:pPr>
            <w:r>
              <w:rPr>
                <w:b/>
                <w:sz w:val="14"/>
              </w:rPr>
              <w:t>Tipo de intervención</w:t>
            </w:r>
          </w:p>
        </w:tc>
        <w:tc>
          <w:tcPr>
            <w:tcW w:w="1190" w:type="dxa"/>
          </w:tcPr>
          <w:p>
            <w:pPr>
              <w:pStyle w:val="TableParagraph"/>
              <w:spacing w:line="225" w:lineRule="auto" w:before="105"/>
              <w:ind w:left="319" w:right="259" w:firstLine="2"/>
              <w:jc w:val="left"/>
              <w:rPr>
                <w:b/>
                <w:sz w:val="14"/>
              </w:rPr>
            </w:pPr>
            <w:r>
              <w:rPr>
                <w:b/>
                <w:sz w:val="14"/>
              </w:rPr>
              <w:t>Tipo de estudio</w:t>
            </w:r>
          </w:p>
        </w:tc>
        <w:tc>
          <w:tcPr>
            <w:tcW w:w="1148" w:type="dxa"/>
          </w:tcPr>
          <w:p>
            <w:pPr>
              <w:pStyle w:val="TableParagraph"/>
              <w:spacing w:before="96"/>
              <w:ind w:left="189"/>
              <w:jc w:val="left"/>
              <w:rPr>
                <w:b/>
                <w:sz w:val="14"/>
              </w:rPr>
            </w:pPr>
            <w:r>
              <w:rPr>
                <w:b/>
                <w:sz w:val="14"/>
              </w:rPr>
              <w:t>Pacientes</w:t>
            </w:r>
          </w:p>
        </w:tc>
        <w:tc>
          <w:tcPr>
            <w:tcW w:w="1205" w:type="dxa"/>
          </w:tcPr>
          <w:p>
            <w:pPr>
              <w:pStyle w:val="TableParagraph"/>
              <w:spacing w:line="225" w:lineRule="auto" w:before="105"/>
              <w:ind w:left="259" w:right="73" w:hanging="169"/>
              <w:jc w:val="left"/>
              <w:rPr>
                <w:b/>
                <w:sz w:val="14"/>
              </w:rPr>
            </w:pPr>
            <w:r>
              <w:rPr>
                <w:b/>
                <w:sz w:val="14"/>
              </w:rPr>
              <w:t>Dosis de KET utilizada</w:t>
            </w:r>
          </w:p>
        </w:tc>
        <w:tc>
          <w:tcPr>
            <w:tcW w:w="1177" w:type="dxa"/>
          </w:tcPr>
          <w:p>
            <w:pPr>
              <w:pStyle w:val="TableParagraph"/>
              <w:spacing w:line="225" w:lineRule="auto" w:before="105"/>
              <w:ind w:left="318" w:right="273" w:firstLine="39"/>
              <w:jc w:val="left"/>
              <w:rPr>
                <w:b/>
                <w:sz w:val="14"/>
              </w:rPr>
            </w:pPr>
            <w:r>
              <w:rPr>
                <w:b/>
                <w:sz w:val="14"/>
              </w:rPr>
              <w:t>Grupo control</w:t>
            </w:r>
          </w:p>
        </w:tc>
        <w:tc>
          <w:tcPr>
            <w:tcW w:w="1262" w:type="dxa"/>
          </w:tcPr>
          <w:p>
            <w:pPr>
              <w:pStyle w:val="TableParagraph"/>
              <w:spacing w:before="96"/>
              <w:ind w:left="176"/>
              <w:jc w:val="left"/>
              <w:rPr>
                <w:b/>
                <w:sz w:val="14"/>
              </w:rPr>
            </w:pPr>
            <w:r>
              <w:rPr>
                <w:b/>
                <w:sz w:val="14"/>
              </w:rPr>
              <w:t>Resultados</w:t>
            </w:r>
          </w:p>
        </w:tc>
        <w:tc>
          <w:tcPr>
            <w:tcW w:w="1181" w:type="dxa"/>
          </w:tcPr>
          <w:p>
            <w:pPr>
              <w:pStyle w:val="TableParagraph"/>
              <w:spacing w:line="225" w:lineRule="auto" w:before="105"/>
              <w:ind w:left="194" w:right="201" w:hanging="1"/>
              <w:rPr>
                <w:b/>
                <w:sz w:val="14"/>
              </w:rPr>
            </w:pPr>
            <w:r>
              <w:rPr>
                <w:b/>
                <w:sz w:val="14"/>
              </w:rPr>
              <w:t>Efectos adversos asociados</w:t>
            </w:r>
          </w:p>
        </w:tc>
      </w:tr>
      <w:tr>
        <w:trPr>
          <w:trHeight w:val="2472" w:hRule="atLeast"/>
        </w:trPr>
        <w:tc>
          <w:tcPr>
            <w:tcW w:w="1262" w:type="dxa"/>
          </w:tcPr>
          <w:p>
            <w:pPr>
              <w:pStyle w:val="TableParagraph"/>
              <w:spacing w:before="9"/>
              <w:jc w:val="left"/>
              <w:rPr>
                <w:i/>
                <w:sz w:val="12"/>
              </w:rPr>
            </w:pPr>
          </w:p>
          <w:p>
            <w:pPr>
              <w:pStyle w:val="TableParagraph"/>
              <w:spacing w:line="225" w:lineRule="auto" w:before="1"/>
              <w:ind w:left="242" w:right="239" w:hanging="1"/>
              <w:rPr>
                <w:sz w:val="14"/>
              </w:rPr>
            </w:pPr>
            <w:r>
              <w:rPr>
                <w:sz w:val="14"/>
              </w:rPr>
              <w:t>Ashley R. et al. 2007</w:t>
            </w:r>
          </w:p>
          <w:p>
            <w:pPr>
              <w:pStyle w:val="TableParagraph"/>
              <w:spacing w:line="162" w:lineRule="exact"/>
              <w:ind w:left="82" w:right="82"/>
              <w:rPr>
                <w:sz w:val="14"/>
              </w:rPr>
            </w:pPr>
            <w:r>
              <w:rPr>
                <w:sz w:val="14"/>
              </w:rPr>
              <w:t>(34)</w:t>
            </w:r>
          </w:p>
        </w:tc>
        <w:tc>
          <w:tcPr>
            <w:tcW w:w="1205" w:type="dxa"/>
          </w:tcPr>
          <w:p>
            <w:pPr>
              <w:pStyle w:val="TableParagraph"/>
              <w:spacing w:line="225" w:lineRule="auto" w:before="140"/>
              <w:ind w:left="204" w:right="258" w:hanging="2"/>
              <w:rPr>
                <w:sz w:val="14"/>
              </w:rPr>
            </w:pPr>
            <w:r>
              <w:rPr>
                <w:sz w:val="14"/>
              </w:rPr>
              <w:t>Cirugía abdominal mayor.</w:t>
            </w:r>
          </w:p>
        </w:tc>
        <w:tc>
          <w:tcPr>
            <w:tcW w:w="1190" w:type="dxa"/>
          </w:tcPr>
          <w:p>
            <w:pPr>
              <w:pStyle w:val="TableParagraph"/>
              <w:spacing w:line="225" w:lineRule="auto" w:before="140"/>
              <w:ind w:left="79" w:right="34"/>
              <w:rPr>
                <w:sz w:val="14"/>
              </w:rPr>
            </w:pPr>
            <w:r>
              <w:rPr>
                <w:sz w:val="14"/>
              </w:rPr>
              <w:t>Doble ciego, randomizado, placebo/ control.</w:t>
            </w:r>
          </w:p>
        </w:tc>
        <w:tc>
          <w:tcPr>
            <w:tcW w:w="1148" w:type="dxa"/>
          </w:tcPr>
          <w:p>
            <w:pPr>
              <w:pStyle w:val="TableParagraph"/>
              <w:spacing w:line="225" w:lineRule="auto" w:before="140"/>
              <w:ind w:left="78" w:right="76"/>
              <w:rPr>
                <w:sz w:val="14"/>
              </w:rPr>
            </w:pPr>
            <w:r>
              <w:rPr>
                <w:sz w:val="14"/>
              </w:rPr>
              <w:t>120</w:t>
            </w:r>
            <w:r>
              <w:rPr>
                <w:spacing w:val="-14"/>
                <w:sz w:val="14"/>
              </w:rPr>
              <w:t> </w:t>
            </w:r>
            <w:r>
              <w:rPr>
                <w:sz w:val="14"/>
              </w:rPr>
              <w:t>pacientes ASA I-III Edad</w:t>
            </w:r>
            <w:r>
              <w:rPr>
                <w:spacing w:val="-3"/>
                <w:sz w:val="14"/>
              </w:rPr>
              <w:t> </w:t>
            </w:r>
            <w:r>
              <w:rPr>
                <w:sz w:val="14"/>
              </w:rPr>
              <w:t>19-89.</w:t>
            </w:r>
          </w:p>
          <w:p>
            <w:pPr>
              <w:pStyle w:val="TableParagraph"/>
              <w:spacing w:line="162" w:lineRule="exact"/>
              <w:ind w:left="81" w:right="81"/>
              <w:rPr>
                <w:sz w:val="14"/>
              </w:rPr>
            </w:pPr>
            <w:r>
              <w:rPr>
                <w:sz w:val="14"/>
              </w:rPr>
              <w:t>Peso</w:t>
            </w:r>
            <w:r>
              <w:rPr>
                <w:spacing w:val="-4"/>
                <w:sz w:val="14"/>
              </w:rPr>
              <w:t> </w:t>
            </w:r>
            <w:r>
              <w:rPr>
                <w:sz w:val="14"/>
              </w:rPr>
              <w:t>41-117.</w:t>
            </w:r>
          </w:p>
        </w:tc>
        <w:tc>
          <w:tcPr>
            <w:tcW w:w="1205" w:type="dxa"/>
          </w:tcPr>
          <w:p>
            <w:pPr>
              <w:pStyle w:val="TableParagraph"/>
              <w:spacing w:line="225" w:lineRule="auto" w:before="140"/>
              <w:ind w:left="228" w:right="156" w:firstLine="95"/>
              <w:jc w:val="left"/>
              <w:rPr>
                <w:sz w:val="14"/>
              </w:rPr>
            </w:pPr>
            <w:r>
              <w:rPr>
                <w:sz w:val="14"/>
              </w:rPr>
              <w:t>0.3 mg/ kg durante inducción</w:t>
            </w:r>
          </w:p>
          <w:p>
            <w:pPr>
              <w:pStyle w:val="TableParagraph"/>
              <w:spacing w:line="225" w:lineRule="auto" w:before="1"/>
              <w:ind w:left="80" w:right="81"/>
              <w:rPr>
                <w:sz w:val="14"/>
              </w:rPr>
            </w:pPr>
            <w:r>
              <w:rPr>
                <w:spacing w:val="-3"/>
                <w:sz w:val="14"/>
              </w:rPr>
              <w:t>seguida </w:t>
            </w:r>
            <w:r>
              <w:rPr>
                <w:sz w:val="14"/>
              </w:rPr>
              <w:t>de </w:t>
            </w:r>
            <w:r>
              <w:rPr>
                <w:spacing w:val="-8"/>
                <w:sz w:val="14"/>
              </w:rPr>
              <w:t>una </w:t>
            </w:r>
            <w:r>
              <w:rPr>
                <w:spacing w:val="-3"/>
                <w:sz w:val="14"/>
              </w:rPr>
              <w:t>infusión </w:t>
            </w:r>
            <w:r>
              <w:rPr>
                <w:sz w:val="14"/>
              </w:rPr>
              <w:t>de </w:t>
            </w:r>
            <w:r>
              <w:rPr>
                <w:spacing w:val="-3"/>
                <w:sz w:val="14"/>
              </w:rPr>
              <w:t>0.1 mg/kg/h por </w:t>
            </w:r>
            <w:r>
              <w:rPr>
                <w:sz w:val="14"/>
              </w:rPr>
              <w:t>48 </w:t>
            </w:r>
            <w:r>
              <w:rPr>
                <w:spacing w:val="-3"/>
                <w:sz w:val="14"/>
              </w:rPr>
              <w:t>h*.</w:t>
            </w:r>
          </w:p>
        </w:tc>
        <w:tc>
          <w:tcPr>
            <w:tcW w:w="1177" w:type="dxa"/>
          </w:tcPr>
          <w:p>
            <w:pPr>
              <w:pStyle w:val="TableParagraph"/>
              <w:spacing w:line="225" w:lineRule="auto" w:before="140"/>
              <w:ind w:left="81" w:right="51" w:hanging="1"/>
              <w:rPr>
                <w:sz w:val="14"/>
              </w:rPr>
            </w:pPr>
            <w:r>
              <w:rPr>
                <w:sz w:val="14"/>
              </w:rPr>
              <w:t>Volumen equivalente de solución salina 0,9%.</w:t>
            </w:r>
          </w:p>
        </w:tc>
        <w:tc>
          <w:tcPr>
            <w:tcW w:w="1262" w:type="dxa"/>
          </w:tcPr>
          <w:p>
            <w:pPr>
              <w:pStyle w:val="TableParagraph"/>
              <w:spacing w:line="225" w:lineRule="auto" w:before="140"/>
              <w:ind w:left="54" w:right="82"/>
              <w:rPr>
                <w:sz w:val="14"/>
              </w:rPr>
            </w:pPr>
            <w:r>
              <w:rPr>
                <w:sz w:val="14"/>
              </w:rPr>
              <w:t>80% reporto buena o excelente analgesia vs 44% grupo control (p&lt;0,008).</w:t>
            </w:r>
          </w:p>
        </w:tc>
        <w:tc>
          <w:tcPr>
            <w:tcW w:w="1181" w:type="dxa"/>
          </w:tcPr>
          <w:p>
            <w:pPr>
              <w:pStyle w:val="TableParagraph"/>
              <w:spacing w:line="225" w:lineRule="auto" w:before="141"/>
              <w:ind w:left="36" w:right="13"/>
              <w:rPr>
                <w:sz w:val="14"/>
              </w:rPr>
            </w:pPr>
            <w:r>
              <w:rPr>
                <w:sz w:val="14"/>
              </w:rPr>
              <w:t>NVPO sin diferencias significativas Puntajes de sedación menores para el grupo de</w:t>
            </w:r>
            <w:r>
              <w:rPr>
                <w:spacing w:val="-8"/>
                <w:sz w:val="14"/>
              </w:rPr>
              <w:t> </w:t>
            </w:r>
            <w:r>
              <w:rPr>
                <w:sz w:val="14"/>
              </w:rPr>
              <w:t>KET (p&lt;0,03)</w:t>
            </w:r>
          </w:p>
          <w:p>
            <w:pPr>
              <w:pStyle w:val="TableParagraph"/>
              <w:spacing w:line="225" w:lineRule="auto"/>
              <w:ind w:left="72" w:right="49"/>
              <w:rPr>
                <w:sz w:val="14"/>
              </w:rPr>
            </w:pPr>
            <w:r>
              <w:rPr>
                <w:sz w:val="14"/>
              </w:rPr>
              <w:t>Los trastornos del sueño fueron similares en ambos grupos.</w:t>
            </w:r>
          </w:p>
        </w:tc>
      </w:tr>
    </w:tbl>
    <w:p>
      <w:pPr>
        <w:spacing w:after="0" w:line="225" w:lineRule="auto"/>
        <w:rPr>
          <w:sz w:val="14"/>
        </w:rPr>
        <w:sectPr>
          <w:type w:val="continuous"/>
          <w:pgSz w:w="11910" w:h="15310"/>
          <w:pgMar w:top="0" w:bottom="280" w:left="1020" w:right="1020"/>
        </w:sectPr>
      </w:pPr>
    </w:p>
    <w:p>
      <w:pPr>
        <w:pStyle w:val="BodyText"/>
        <w:spacing w:line="20" w:lineRule="exact"/>
        <w:ind w:left="103"/>
        <w:rPr>
          <w:rFonts w:ascii="Verdana"/>
          <w:sz w:val="2"/>
        </w:rPr>
      </w:pPr>
      <w:r>
        <w:rPr>
          <w:rFonts w:ascii="Verdana"/>
          <w:sz w:val="2"/>
        </w:rPr>
        <w:pict>
          <v:group style="width:481.9pt;height:1pt;mso-position-horizontal-relative:char;mso-position-vertical-relative:line" coordorigin="0,0" coordsize="9638,20">
            <v:line style="position:absolute" from="0,10" to="9638,10" stroked="true" strokeweight="1pt" strokecolor="#000000">
              <v:stroke dashstyle="solid"/>
            </v:line>
          </v:group>
        </w:pict>
      </w:r>
      <w:r>
        <w:rPr>
          <w:rFonts w:ascii="Verdana"/>
          <w:sz w:val="2"/>
        </w:rPr>
      </w:r>
    </w:p>
    <w:p>
      <w:pPr>
        <w:pStyle w:val="BodyText"/>
        <w:spacing w:before="3"/>
        <w:rPr>
          <w:rFonts w:ascii="Verdana"/>
          <w:i/>
          <w:sz w:val="24"/>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1205"/>
        <w:gridCol w:w="1190"/>
        <w:gridCol w:w="1148"/>
        <w:gridCol w:w="1205"/>
        <w:gridCol w:w="1177"/>
        <w:gridCol w:w="1262"/>
        <w:gridCol w:w="1181"/>
      </w:tblGrid>
      <w:tr>
        <w:trPr>
          <w:trHeight w:val="689" w:hRule="atLeast"/>
        </w:trPr>
        <w:tc>
          <w:tcPr>
            <w:tcW w:w="1262" w:type="dxa"/>
          </w:tcPr>
          <w:p>
            <w:pPr>
              <w:pStyle w:val="TableParagraph"/>
              <w:spacing w:before="113"/>
              <w:ind w:left="333"/>
              <w:jc w:val="left"/>
              <w:rPr>
                <w:b/>
                <w:sz w:val="14"/>
              </w:rPr>
            </w:pPr>
            <w:r>
              <w:rPr>
                <w:b/>
                <w:sz w:val="14"/>
              </w:rPr>
              <w:t>Estudio</w:t>
            </w:r>
          </w:p>
        </w:tc>
        <w:tc>
          <w:tcPr>
            <w:tcW w:w="1205" w:type="dxa"/>
          </w:tcPr>
          <w:p>
            <w:pPr>
              <w:pStyle w:val="TableParagraph"/>
              <w:spacing w:line="225" w:lineRule="auto" w:before="106"/>
              <w:ind w:left="76" w:right="115" w:firstLine="203"/>
              <w:jc w:val="left"/>
              <w:rPr>
                <w:b/>
                <w:sz w:val="14"/>
              </w:rPr>
            </w:pPr>
            <w:r>
              <w:rPr>
                <w:b/>
                <w:sz w:val="14"/>
              </w:rPr>
              <w:t>Tipo de intervención</w:t>
            </w:r>
          </w:p>
        </w:tc>
        <w:tc>
          <w:tcPr>
            <w:tcW w:w="1190" w:type="dxa"/>
          </w:tcPr>
          <w:p>
            <w:pPr>
              <w:pStyle w:val="TableParagraph"/>
              <w:spacing w:line="225" w:lineRule="auto" w:before="106"/>
              <w:ind w:left="319" w:right="259" w:firstLine="2"/>
              <w:jc w:val="left"/>
              <w:rPr>
                <w:b/>
                <w:sz w:val="14"/>
              </w:rPr>
            </w:pPr>
            <w:r>
              <w:rPr>
                <w:b/>
                <w:sz w:val="14"/>
              </w:rPr>
              <w:t>Tipo de estudio</w:t>
            </w:r>
          </w:p>
        </w:tc>
        <w:tc>
          <w:tcPr>
            <w:tcW w:w="1148" w:type="dxa"/>
          </w:tcPr>
          <w:p>
            <w:pPr>
              <w:pStyle w:val="TableParagraph"/>
              <w:spacing w:before="98"/>
              <w:ind w:left="189"/>
              <w:jc w:val="left"/>
              <w:rPr>
                <w:b/>
                <w:sz w:val="14"/>
              </w:rPr>
            </w:pPr>
            <w:r>
              <w:rPr>
                <w:b/>
                <w:sz w:val="14"/>
              </w:rPr>
              <w:t>Pacientes</w:t>
            </w:r>
          </w:p>
        </w:tc>
        <w:tc>
          <w:tcPr>
            <w:tcW w:w="1205" w:type="dxa"/>
          </w:tcPr>
          <w:p>
            <w:pPr>
              <w:pStyle w:val="TableParagraph"/>
              <w:spacing w:line="225" w:lineRule="auto" w:before="106"/>
              <w:ind w:left="259" w:right="73" w:hanging="169"/>
              <w:jc w:val="left"/>
              <w:rPr>
                <w:b/>
                <w:sz w:val="14"/>
              </w:rPr>
            </w:pPr>
            <w:r>
              <w:rPr>
                <w:b/>
                <w:sz w:val="14"/>
              </w:rPr>
              <w:t>Dosis de KET utilizada</w:t>
            </w:r>
          </w:p>
        </w:tc>
        <w:tc>
          <w:tcPr>
            <w:tcW w:w="1177" w:type="dxa"/>
          </w:tcPr>
          <w:p>
            <w:pPr>
              <w:pStyle w:val="TableParagraph"/>
              <w:spacing w:line="225" w:lineRule="auto" w:before="106"/>
              <w:ind w:left="318" w:right="273" w:firstLine="39"/>
              <w:jc w:val="left"/>
              <w:rPr>
                <w:b/>
                <w:sz w:val="14"/>
              </w:rPr>
            </w:pPr>
            <w:r>
              <w:rPr>
                <w:b/>
                <w:sz w:val="14"/>
              </w:rPr>
              <w:t>Grupo control</w:t>
            </w:r>
          </w:p>
        </w:tc>
        <w:tc>
          <w:tcPr>
            <w:tcW w:w="1262" w:type="dxa"/>
          </w:tcPr>
          <w:p>
            <w:pPr>
              <w:pStyle w:val="TableParagraph"/>
              <w:spacing w:before="98"/>
              <w:ind w:left="176"/>
              <w:jc w:val="left"/>
              <w:rPr>
                <w:b/>
                <w:sz w:val="14"/>
              </w:rPr>
            </w:pPr>
            <w:r>
              <w:rPr>
                <w:b/>
                <w:sz w:val="14"/>
              </w:rPr>
              <w:t>Resultados</w:t>
            </w:r>
          </w:p>
        </w:tc>
        <w:tc>
          <w:tcPr>
            <w:tcW w:w="1181" w:type="dxa"/>
          </w:tcPr>
          <w:p>
            <w:pPr>
              <w:pStyle w:val="TableParagraph"/>
              <w:spacing w:line="225" w:lineRule="auto" w:before="106"/>
              <w:ind w:left="194" w:right="201" w:hanging="1"/>
              <w:rPr>
                <w:b/>
                <w:sz w:val="14"/>
              </w:rPr>
            </w:pPr>
            <w:r>
              <w:rPr>
                <w:b/>
                <w:sz w:val="14"/>
              </w:rPr>
              <w:t>Efectos adversos asociados</w:t>
            </w:r>
          </w:p>
        </w:tc>
      </w:tr>
      <w:tr>
        <w:trPr>
          <w:trHeight w:val="1898" w:hRule="atLeast"/>
        </w:trPr>
        <w:tc>
          <w:tcPr>
            <w:tcW w:w="1262" w:type="dxa"/>
          </w:tcPr>
          <w:p>
            <w:pPr>
              <w:pStyle w:val="TableParagraph"/>
              <w:spacing w:before="5"/>
              <w:jc w:val="left"/>
              <w:rPr>
                <w:i/>
                <w:sz w:val="15"/>
              </w:rPr>
            </w:pPr>
          </w:p>
          <w:p>
            <w:pPr>
              <w:pStyle w:val="TableParagraph"/>
              <w:spacing w:line="225" w:lineRule="auto"/>
              <w:ind w:left="179" w:right="220"/>
              <w:rPr>
                <w:sz w:val="14"/>
              </w:rPr>
            </w:pPr>
            <w:r>
              <w:rPr>
                <w:sz w:val="14"/>
              </w:rPr>
              <w:t>María Cabrera et al. 2006</w:t>
            </w:r>
          </w:p>
          <w:p>
            <w:pPr>
              <w:pStyle w:val="TableParagraph"/>
              <w:spacing w:line="162" w:lineRule="exact"/>
              <w:ind w:left="41" w:right="82"/>
              <w:rPr>
                <w:sz w:val="14"/>
              </w:rPr>
            </w:pPr>
            <w:r>
              <w:rPr>
                <w:sz w:val="14"/>
              </w:rPr>
              <w:t>(35)</w:t>
            </w:r>
          </w:p>
        </w:tc>
        <w:tc>
          <w:tcPr>
            <w:tcW w:w="1205" w:type="dxa"/>
          </w:tcPr>
          <w:p>
            <w:pPr>
              <w:pStyle w:val="TableParagraph"/>
              <w:spacing w:before="5"/>
              <w:jc w:val="left"/>
              <w:rPr>
                <w:i/>
                <w:sz w:val="13"/>
              </w:rPr>
            </w:pPr>
          </w:p>
          <w:p>
            <w:pPr>
              <w:pStyle w:val="TableParagraph"/>
              <w:spacing w:line="165" w:lineRule="exact"/>
              <w:ind w:left="-11"/>
              <w:jc w:val="left"/>
              <w:rPr>
                <w:sz w:val="14"/>
              </w:rPr>
            </w:pPr>
            <w:r>
              <w:rPr>
                <w:spacing w:val="-3"/>
                <w:sz w:val="14"/>
              </w:rPr>
              <w:t>Colecistectomías</w:t>
            </w:r>
          </w:p>
          <w:p>
            <w:pPr>
              <w:pStyle w:val="TableParagraph"/>
              <w:spacing w:line="165" w:lineRule="exact"/>
              <w:ind w:left="36"/>
              <w:jc w:val="left"/>
              <w:rPr>
                <w:sz w:val="14"/>
              </w:rPr>
            </w:pPr>
            <w:r>
              <w:rPr>
                <w:spacing w:val="-3"/>
                <w:sz w:val="14"/>
              </w:rPr>
              <w:t>laparoscópicas.</w:t>
            </w:r>
          </w:p>
        </w:tc>
        <w:tc>
          <w:tcPr>
            <w:tcW w:w="1190" w:type="dxa"/>
          </w:tcPr>
          <w:p>
            <w:pPr>
              <w:pStyle w:val="TableParagraph"/>
              <w:spacing w:before="2"/>
              <w:jc w:val="left"/>
              <w:rPr>
                <w:i/>
                <w:sz w:val="14"/>
              </w:rPr>
            </w:pPr>
          </w:p>
          <w:p>
            <w:pPr>
              <w:pStyle w:val="TableParagraph"/>
              <w:spacing w:line="225" w:lineRule="auto"/>
              <w:ind w:left="90" w:right="131" w:hanging="1"/>
              <w:rPr>
                <w:sz w:val="14"/>
              </w:rPr>
            </w:pPr>
            <w:r>
              <w:rPr>
                <w:sz w:val="14"/>
              </w:rPr>
              <w:t>Prospectivo, </w:t>
            </w:r>
            <w:r>
              <w:rPr>
                <w:spacing w:val="-1"/>
                <w:sz w:val="14"/>
              </w:rPr>
              <w:t>randomizado, </w:t>
            </w:r>
            <w:r>
              <w:rPr>
                <w:sz w:val="14"/>
              </w:rPr>
              <w:t>doble ciego.</w:t>
            </w:r>
          </w:p>
        </w:tc>
        <w:tc>
          <w:tcPr>
            <w:tcW w:w="1148" w:type="dxa"/>
          </w:tcPr>
          <w:p>
            <w:pPr>
              <w:pStyle w:val="TableParagraph"/>
              <w:spacing w:before="2"/>
              <w:jc w:val="left"/>
              <w:rPr>
                <w:i/>
                <w:sz w:val="14"/>
              </w:rPr>
            </w:pPr>
          </w:p>
          <w:p>
            <w:pPr>
              <w:pStyle w:val="TableParagraph"/>
              <w:spacing w:line="225" w:lineRule="auto"/>
              <w:ind w:left="81" w:right="137"/>
              <w:rPr>
                <w:sz w:val="14"/>
              </w:rPr>
            </w:pPr>
            <w:r>
              <w:rPr>
                <w:sz w:val="14"/>
              </w:rPr>
              <w:t>42 pacientes ASA I-II Edad </w:t>
            </w:r>
            <w:r>
              <w:rPr>
                <w:spacing w:val="-3"/>
                <w:sz w:val="14"/>
              </w:rPr>
              <w:t>50±10.</w:t>
            </w:r>
          </w:p>
          <w:p>
            <w:pPr>
              <w:pStyle w:val="TableParagraph"/>
              <w:spacing w:line="162" w:lineRule="exact"/>
              <w:ind w:left="28" w:right="83"/>
              <w:rPr>
                <w:sz w:val="14"/>
              </w:rPr>
            </w:pPr>
            <w:r>
              <w:rPr>
                <w:sz w:val="14"/>
              </w:rPr>
              <w:t>Peso</w:t>
            </w:r>
            <w:r>
              <w:rPr>
                <w:spacing w:val="-4"/>
                <w:sz w:val="14"/>
              </w:rPr>
              <w:t> </w:t>
            </w:r>
            <w:r>
              <w:rPr>
                <w:sz w:val="14"/>
              </w:rPr>
              <w:t>70±10.</w:t>
            </w:r>
          </w:p>
        </w:tc>
        <w:tc>
          <w:tcPr>
            <w:tcW w:w="1205" w:type="dxa"/>
          </w:tcPr>
          <w:p>
            <w:pPr>
              <w:pStyle w:val="TableParagraph"/>
              <w:spacing w:before="2"/>
              <w:jc w:val="left"/>
              <w:rPr>
                <w:i/>
                <w:sz w:val="14"/>
              </w:rPr>
            </w:pPr>
          </w:p>
          <w:p>
            <w:pPr>
              <w:pStyle w:val="TableParagraph"/>
              <w:spacing w:line="225" w:lineRule="auto"/>
              <w:ind w:left="210" w:right="198" w:hanging="14"/>
              <w:jc w:val="both"/>
              <w:rPr>
                <w:sz w:val="14"/>
              </w:rPr>
            </w:pPr>
            <w:r>
              <w:rPr>
                <w:spacing w:val="-3"/>
                <w:sz w:val="14"/>
              </w:rPr>
              <w:t>0.15 </w:t>
            </w:r>
            <w:r>
              <w:rPr>
                <w:spacing w:val="-6"/>
                <w:sz w:val="14"/>
              </w:rPr>
              <w:t>mg/kg </w:t>
            </w:r>
            <w:r>
              <w:rPr>
                <w:sz w:val="14"/>
              </w:rPr>
              <w:t>pre </w:t>
            </w:r>
            <w:r>
              <w:rPr>
                <w:spacing w:val="-3"/>
                <w:sz w:val="14"/>
              </w:rPr>
              <w:t>incisión quirúrgica.</w:t>
            </w:r>
          </w:p>
        </w:tc>
        <w:tc>
          <w:tcPr>
            <w:tcW w:w="1177" w:type="dxa"/>
          </w:tcPr>
          <w:p>
            <w:pPr>
              <w:pStyle w:val="TableParagraph"/>
              <w:spacing w:before="5"/>
              <w:jc w:val="left"/>
              <w:rPr>
                <w:i/>
                <w:sz w:val="13"/>
              </w:rPr>
            </w:pPr>
          </w:p>
          <w:p>
            <w:pPr>
              <w:pStyle w:val="TableParagraph"/>
              <w:spacing w:line="165" w:lineRule="exact"/>
              <w:ind w:left="43"/>
              <w:jc w:val="left"/>
              <w:rPr>
                <w:sz w:val="14"/>
              </w:rPr>
            </w:pPr>
            <w:r>
              <w:rPr>
                <w:sz w:val="14"/>
              </w:rPr>
              <w:t>10 ml solución</w:t>
            </w:r>
          </w:p>
          <w:p>
            <w:pPr>
              <w:pStyle w:val="TableParagraph"/>
              <w:spacing w:line="165" w:lineRule="exact"/>
              <w:ind w:left="110"/>
              <w:jc w:val="left"/>
              <w:rPr>
                <w:sz w:val="14"/>
              </w:rPr>
            </w:pPr>
            <w:r>
              <w:rPr>
                <w:sz w:val="14"/>
              </w:rPr>
              <w:t>salina 0,9%.</w:t>
            </w:r>
          </w:p>
        </w:tc>
        <w:tc>
          <w:tcPr>
            <w:tcW w:w="1262" w:type="dxa"/>
          </w:tcPr>
          <w:p>
            <w:pPr>
              <w:pStyle w:val="TableParagraph"/>
              <w:spacing w:before="2"/>
              <w:jc w:val="left"/>
              <w:rPr>
                <w:i/>
                <w:sz w:val="14"/>
              </w:rPr>
            </w:pPr>
          </w:p>
          <w:p>
            <w:pPr>
              <w:pStyle w:val="TableParagraph"/>
              <w:spacing w:line="225" w:lineRule="auto"/>
              <w:ind w:left="52" w:right="109" w:firstLine="1"/>
              <w:rPr>
                <w:sz w:val="14"/>
              </w:rPr>
            </w:pPr>
            <w:r>
              <w:rPr>
                <w:spacing w:val="-3"/>
                <w:sz w:val="14"/>
              </w:rPr>
              <w:t>Valores EVA significativa- </w:t>
            </w:r>
            <w:r>
              <w:rPr>
                <w:sz w:val="14"/>
              </w:rPr>
              <w:t>mente</w:t>
            </w:r>
            <w:r>
              <w:rPr>
                <w:spacing w:val="-23"/>
                <w:sz w:val="14"/>
              </w:rPr>
              <w:t> </w:t>
            </w:r>
            <w:r>
              <w:rPr>
                <w:sz w:val="14"/>
              </w:rPr>
              <w:t>menores en grupo </w:t>
            </w:r>
            <w:r>
              <w:rPr>
                <w:spacing w:val="-3"/>
                <w:sz w:val="14"/>
              </w:rPr>
              <w:t>ketamina </w:t>
            </w:r>
            <w:r>
              <w:rPr>
                <w:sz w:val="14"/>
              </w:rPr>
              <w:t>(p&lt;0,001)</w:t>
            </w:r>
          </w:p>
          <w:p>
            <w:pPr>
              <w:pStyle w:val="TableParagraph"/>
              <w:spacing w:line="225" w:lineRule="auto"/>
              <w:ind w:left="221" w:right="99" w:hanging="174"/>
              <w:jc w:val="left"/>
              <w:rPr>
                <w:sz w:val="14"/>
              </w:rPr>
            </w:pPr>
            <w:r>
              <w:rPr>
                <w:sz w:val="14"/>
              </w:rPr>
              <w:t>Menor</w:t>
            </w:r>
            <w:r>
              <w:rPr>
                <w:spacing w:val="-21"/>
                <w:sz w:val="14"/>
              </w:rPr>
              <w:t> </w:t>
            </w:r>
            <w:r>
              <w:rPr>
                <w:sz w:val="14"/>
              </w:rPr>
              <w:t>consumo de morfina de rescate (p&lt;0,01).</w:t>
            </w:r>
          </w:p>
        </w:tc>
        <w:tc>
          <w:tcPr>
            <w:tcW w:w="1181" w:type="dxa"/>
          </w:tcPr>
          <w:p>
            <w:pPr>
              <w:pStyle w:val="TableParagraph"/>
              <w:spacing w:before="2"/>
              <w:jc w:val="left"/>
              <w:rPr>
                <w:i/>
                <w:sz w:val="14"/>
              </w:rPr>
            </w:pPr>
          </w:p>
          <w:p>
            <w:pPr>
              <w:pStyle w:val="TableParagraph"/>
              <w:spacing w:line="225" w:lineRule="auto"/>
              <w:ind w:left="26" w:right="33" w:hanging="1"/>
              <w:rPr>
                <w:sz w:val="14"/>
              </w:rPr>
            </w:pPr>
            <w:r>
              <w:rPr>
                <w:spacing w:val="-4"/>
                <w:sz w:val="14"/>
              </w:rPr>
              <w:t>NVPO </w:t>
            </w:r>
            <w:r>
              <w:rPr>
                <w:spacing w:val="-5"/>
                <w:sz w:val="14"/>
              </w:rPr>
              <w:t>sin diferencias en </w:t>
            </w:r>
            <w:r>
              <w:rPr>
                <w:spacing w:val="-4"/>
                <w:sz w:val="14"/>
              </w:rPr>
              <w:t>ambos </w:t>
            </w:r>
            <w:r>
              <w:rPr>
                <w:spacing w:val="-5"/>
                <w:sz w:val="14"/>
              </w:rPr>
              <w:t>grupos </w:t>
            </w:r>
            <w:r>
              <w:rPr>
                <w:spacing w:val="-3"/>
                <w:sz w:val="14"/>
              </w:rPr>
              <w:t>No </w:t>
            </w:r>
            <w:r>
              <w:rPr>
                <w:spacing w:val="-5"/>
                <w:sz w:val="14"/>
              </w:rPr>
              <w:t>se </w:t>
            </w:r>
            <w:r>
              <w:rPr>
                <w:spacing w:val="-6"/>
                <w:sz w:val="14"/>
              </w:rPr>
              <w:t>registraron </w:t>
            </w:r>
            <w:r>
              <w:rPr>
                <w:spacing w:val="-4"/>
                <w:sz w:val="14"/>
              </w:rPr>
              <w:t>malos </w:t>
            </w:r>
            <w:r>
              <w:rPr>
                <w:spacing w:val="-5"/>
                <w:sz w:val="14"/>
              </w:rPr>
              <w:t>recuerdos </w:t>
            </w:r>
            <w:r>
              <w:rPr>
                <w:spacing w:val="-6"/>
                <w:sz w:val="14"/>
              </w:rPr>
              <w:t>intraopera-torios </w:t>
            </w:r>
            <w:r>
              <w:rPr>
                <w:spacing w:val="-4"/>
                <w:sz w:val="14"/>
              </w:rPr>
              <w:t>Sin </w:t>
            </w:r>
            <w:r>
              <w:rPr>
                <w:spacing w:val="-5"/>
                <w:sz w:val="14"/>
              </w:rPr>
              <w:t>agitación durante el </w:t>
            </w:r>
            <w:r>
              <w:rPr>
                <w:spacing w:val="-7"/>
                <w:sz w:val="14"/>
              </w:rPr>
              <w:t>despertar.</w:t>
            </w:r>
          </w:p>
        </w:tc>
      </w:tr>
      <w:tr>
        <w:trPr>
          <w:trHeight w:val="2969" w:hRule="atLeast"/>
        </w:trPr>
        <w:tc>
          <w:tcPr>
            <w:tcW w:w="1262" w:type="dxa"/>
          </w:tcPr>
          <w:p>
            <w:pPr>
              <w:pStyle w:val="TableParagraph"/>
              <w:spacing w:line="225" w:lineRule="auto" w:before="126"/>
              <w:ind w:left="276" w:right="261" w:hanging="1"/>
              <w:rPr>
                <w:sz w:val="14"/>
              </w:rPr>
            </w:pPr>
            <w:r>
              <w:rPr>
                <w:sz w:val="14"/>
              </w:rPr>
              <w:t>Nachum </w:t>
            </w:r>
            <w:r>
              <w:rPr>
                <w:spacing w:val="-3"/>
                <w:sz w:val="14"/>
              </w:rPr>
              <w:t>Nesher, </w:t>
            </w:r>
            <w:r>
              <w:rPr>
                <w:spacing w:val="-8"/>
                <w:sz w:val="14"/>
              </w:rPr>
              <w:t>et </w:t>
            </w:r>
            <w:r>
              <w:rPr>
                <w:sz w:val="14"/>
              </w:rPr>
              <w:t>al. 2009</w:t>
            </w:r>
          </w:p>
          <w:p>
            <w:pPr>
              <w:pStyle w:val="TableParagraph"/>
              <w:spacing w:line="162" w:lineRule="exact"/>
              <w:ind w:left="82" w:right="70"/>
              <w:rPr>
                <w:sz w:val="14"/>
              </w:rPr>
            </w:pPr>
            <w:r>
              <w:rPr>
                <w:sz w:val="14"/>
              </w:rPr>
              <w:t>(29)</w:t>
            </w:r>
          </w:p>
        </w:tc>
        <w:tc>
          <w:tcPr>
            <w:tcW w:w="1205" w:type="dxa"/>
          </w:tcPr>
          <w:p>
            <w:pPr>
              <w:pStyle w:val="TableParagraph"/>
              <w:spacing w:line="225" w:lineRule="auto" w:before="110"/>
              <w:ind w:left="56" w:right="30" w:hanging="2"/>
              <w:jc w:val="left"/>
              <w:rPr>
                <w:sz w:val="14"/>
              </w:rPr>
            </w:pPr>
            <w:r>
              <w:rPr>
                <w:spacing w:val="-3"/>
                <w:sz w:val="14"/>
              </w:rPr>
              <w:t>Cirugía torácica </w:t>
            </w:r>
            <w:r>
              <w:rPr>
                <w:sz w:val="14"/>
              </w:rPr>
              <w:t>y </w:t>
            </w:r>
            <w:r>
              <w:rPr>
                <w:spacing w:val="-5"/>
                <w:sz w:val="14"/>
              </w:rPr>
              <w:t>cardiovascular </w:t>
            </w:r>
            <w:r>
              <w:rPr>
                <w:spacing w:val="-4"/>
                <w:sz w:val="14"/>
              </w:rPr>
              <w:t>(toracotomías).</w:t>
            </w:r>
          </w:p>
        </w:tc>
        <w:tc>
          <w:tcPr>
            <w:tcW w:w="1190" w:type="dxa"/>
          </w:tcPr>
          <w:p>
            <w:pPr>
              <w:pStyle w:val="TableParagraph"/>
              <w:spacing w:line="165" w:lineRule="exact" w:before="102"/>
              <w:ind w:left="99"/>
              <w:jc w:val="left"/>
              <w:rPr>
                <w:sz w:val="14"/>
              </w:rPr>
            </w:pPr>
            <w:r>
              <w:rPr>
                <w:sz w:val="14"/>
              </w:rPr>
              <w:t>Randomizado,</w:t>
            </w:r>
          </w:p>
          <w:p>
            <w:pPr>
              <w:pStyle w:val="TableParagraph"/>
              <w:spacing w:line="165" w:lineRule="exact"/>
              <w:ind w:left="172"/>
              <w:jc w:val="left"/>
              <w:rPr>
                <w:sz w:val="14"/>
              </w:rPr>
            </w:pPr>
            <w:r>
              <w:rPr>
                <w:sz w:val="14"/>
              </w:rPr>
              <w:t>doble ciego.</w:t>
            </w:r>
          </w:p>
        </w:tc>
        <w:tc>
          <w:tcPr>
            <w:tcW w:w="1148" w:type="dxa"/>
          </w:tcPr>
          <w:p>
            <w:pPr>
              <w:pStyle w:val="TableParagraph"/>
              <w:spacing w:line="165" w:lineRule="exact" w:before="102"/>
              <w:ind w:left="121"/>
              <w:jc w:val="left"/>
              <w:rPr>
                <w:sz w:val="14"/>
              </w:rPr>
            </w:pPr>
            <w:r>
              <w:rPr>
                <w:sz w:val="14"/>
              </w:rPr>
              <w:t>41 pacientes</w:t>
            </w:r>
          </w:p>
          <w:p>
            <w:pPr>
              <w:pStyle w:val="TableParagraph"/>
              <w:spacing w:line="160" w:lineRule="exact"/>
              <w:ind w:left="108"/>
              <w:jc w:val="left"/>
              <w:rPr>
                <w:sz w:val="14"/>
              </w:rPr>
            </w:pPr>
            <w:r>
              <w:rPr>
                <w:sz w:val="14"/>
              </w:rPr>
              <w:t>Edad</w:t>
            </w:r>
            <w:r>
              <w:rPr>
                <w:spacing w:val="-4"/>
                <w:sz w:val="14"/>
              </w:rPr>
              <w:t> </w:t>
            </w:r>
            <w:r>
              <w:rPr>
                <w:sz w:val="14"/>
              </w:rPr>
              <w:t>58±12.</w:t>
            </w:r>
          </w:p>
          <w:p>
            <w:pPr>
              <w:pStyle w:val="TableParagraph"/>
              <w:spacing w:line="165" w:lineRule="exact"/>
              <w:ind w:left="165"/>
              <w:jc w:val="left"/>
              <w:rPr>
                <w:sz w:val="14"/>
              </w:rPr>
            </w:pPr>
            <w:r>
              <w:rPr>
                <w:sz w:val="14"/>
              </w:rPr>
              <w:t>Peso 73±8.</w:t>
            </w:r>
          </w:p>
        </w:tc>
        <w:tc>
          <w:tcPr>
            <w:tcW w:w="1205" w:type="dxa"/>
          </w:tcPr>
          <w:p>
            <w:pPr>
              <w:pStyle w:val="TableParagraph"/>
              <w:spacing w:line="225" w:lineRule="auto" w:before="110"/>
              <w:ind w:left="80" w:right="26"/>
              <w:rPr>
                <w:sz w:val="14"/>
              </w:rPr>
            </w:pPr>
            <w:r>
              <w:rPr>
                <w:sz w:val="14"/>
              </w:rPr>
              <w:t>5mg ev en </w:t>
            </w:r>
            <w:r>
              <w:rPr>
                <w:spacing w:val="-3"/>
                <w:sz w:val="14"/>
              </w:rPr>
              <w:t>el </w:t>
            </w:r>
            <w:r>
              <w:rPr>
                <w:sz w:val="14"/>
              </w:rPr>
              <w:t>pos</w:t>
            </w:r>
            <w:r>
              <w:rPr>
                <w:spacing w:val="2"/>
                <w:sz w:val="14"/>
              </w:rPr>
              <w:t> </w:t>
            </w:r>
            <w:r>
              <w:rPr>
                <w:spacing w:val="-6"/>
                <w:sz w:val="14"/>
              </w:rPr>
              <w:t>operatorio</w:t>
            </w:r>
          </w:p>
          <w:p>
            <w:pPr>
              <w:pStyle w:val="TableParagraph"/>
              <w:spacing w:line="157" w:lineRule="exact"/>
              <w:ind w:left="57" w:right="6"/>
              <w:rPr>
                <w:sz w:val="14"/>
              </w:rPr>
            </w:pPr>
            <w:r>
              <w:rPr>
                <w:sz w:val="14"/>
              </w:rPr>
              <w:t>+ 1mg</w:t>
            </w:r>
            <w:r>
              <w:rPr>
                <w:spacing w:val="-19"/>
                <w:sz w:val="14"/>
              </w:rPr>
              <w:t> </w:t>
            </w:r>
            <w:r>
              <w:rPr>
                <w:spacing w:val="-3"/>
                <w:sz w:val="14"/>
              </w:rPr>
              <w:t>morfina</w:t>
            </w:r>
          </w:p>
          <w:p>
            <w:pPr>
              <w:pStyle w:val="TableParagraph"/>
              <w:spacing w:line="165" w:lineRule="exact"/>
              <w:ind w:left="80" w:right="41"/>
              <w:rPr>
                <w:sz w:val="14"/>
              </w:rPr>
            </w:pPr>
            <w:r>
              <w:rPr>
                <w:sz w:val="14"/>
              </w:rPr>
              <w:t>ev.</w:t>
            </w:r>
          </w:p>
        </w:tc>
        <w:tc>
          <w:tcPr>
            <w:tcW w:w="1177" w:type="dxa"/>
          </w:tcPr>
          <w:p>
            <w:pPr>
              <w:pStyle w:val="TableParagraph"/>
              <w:spacing w:line="225" w:lineRule="auto" w:before="110"/>
              <w:ind w:left="124" w:right="125"/>
              <w:rPr>
                <w:sz w:val="14"/>
              </w:rPr>
            </w:pPr>
            <w:r>
              <w:rPr>
                <w:sz w:val="14"/>
              </w:rPr>
              <w:t>Solución salina 0,9%</w:t>
            </w:r>
          </w:p>
          <w:p>
            <w:pPr>
              <w:pStyle w:val="TableParagraph"/>
              <w:spacing w:line="225" w:lineRule="auto" w:before="1"/>
              <w:ind w:left="124" w:right="125"/>
              <w:rPr>
                <w:sz w:val="14"/>
              </w:rPr>
            </w:pPr>
            <w:r>
              <w:rPr>
                <w:sz w:val="14"/>
              </w:rPr>
              <w:t>+ 1,5 mg morfina.</w:t>
            </w:r>
          </w:p>
        </w:tc>
        <w:tc>
          <w:tcPr>
            <w:tcW w:w="1262" w:type="dxa"/>
          </w:tcPr>
          <w:p>
            <w:pPr>
              <w:pStyle w:val="TableParagraph"/>
              <w:spacing w:line="225" w:lineRule="auto" w:before="110"/>
              <w:ind w:left="103" w:right="105" w:hanging="1"/>
              <w:rPr>
                <w:sz w:val="14"/>
              </w:rPr>
            </w:pPr>
            <w:r>
              <w:rPr>
                <w:sz w:val="14"/>
              </w:rPr>
              <w:t>Menor </w:t>
            </w:r>
            <w:r>
              <w:rPr>
                <w:spacing w:val="-2"/>
                <w:sz w:val="14"/>
              </w:rPr>
              <w:t>requerimientos </w:t>
            </w:r>
            <w:r>
              <w:rPr>
                <w:sz w:val="14"/>
              </w:rPr>
              <w:t>de</w:t>
            </w:r>
            <w:r>
              <w:rPr>
                <w:spacing w:val="-7"/>
                <w:sz w:val="14"/>
              </w:rPr>
              <w:t> </w:t>
            </w:r>
            <w:r>
              <w:rPr>
                <w:sz w:val="14"/>
              </w:rPr>
              <w:t>morfina</w:t>
            </w:r>
          </w:p>
          <w:p>
            <w:pPr>
              <w:pStyle w:val="TableParagraph"/>
              <w:spacing w:line="157" w:lineRule="exact"/>
              <w:ind w:left="80" w:right="82"/>
              <w:rPr>
                <w:sz w:val="14"/>
              </w:rPr>
            </w:pPr>
            <w:r>
              <w:rPr>
                <w:sz w:val="14"/>
              </w:rPr>
              <w:t>de</w:t>
            </w:r>
            <w:r>
              <w:rPr>
                <w:spacing w:val="-19"/>
                <w:sz w:val="14"/>
              </w:rPr>
              <w:t> </w:t>
            </w:r>
            <w:r>
              <w:rPr>
                <w:sz w:val="14"/>
              </w:rPr>
              <w:t>rescate</w:t>
            </w:r>
          </w:p>
          <w:p>
            <w:pPr>
              <w:pStyle w:val="TableParagraph"/>
              <w:spacing w:line="160" w:lineRule="exact"/>
              <w:ind w:left="80" w:right="82"/>
              <w:rPr>
                <w:sz w:val="14"/>
              </w:rPr>
            </w:pPr>
            <w:r>
              <w:rPr>
                <w:sz w:val="14"/>
              </w:rPr>
              <w:t>(p&lt;0,001)</w:t>
            </w:r>
          </w:p>
          <w:p>
            <w:pPr>
              <w:pStyle w:val="TableParagraph"/>
              <w:spacing w:line="225" w:lineRule="auto" w:before="4"/>
              <w:ind w:left="80" w:right="82"/>
              <w:rPr>
                <w:sz w:val="14"/>
              </w:rPr>
            </w:pPr>
            <w:r>
              <w:rPr>
                <w:sz w:val="14"/>
              </w:rPr>
              <w:t>Menor dolor durante las</w:t>
            </w:r>
            <w:r>
              <w:rPr>
                <w:spacing w:val="-22"/>
                <w:sz w:val="14"/>
              </w:rPr>
              <w:t> </w:t>
            </w:r>
            <w:r>
              <w:rPr>
                <w:spacing w:val="-6"/>
                <w:sz w:val="14"/>
              </w:rPr>
              <w:t>1as </w:t>
            </w:r>
            <w:r>
              <w:rPr>
                <w:sz w:val="14"/>
              </w:rPr>
              <w:t>4 horas </w:t>
            </w:r>
            <w:r>
              <w:rPr>
                <w:spacing w:val="-2"/>
                <w:sz w:val="14"/>
              </w:rPr>
              <w:t>pos </w:t>
            </w:r>
            <w:r>
              <w:rPr>
                <w:spacing w:val="-3"/>
                <w:sz w:val="14"/>
              </w:rPr>
              <w:t>operatorias </w:t>
            </w:r>
            <w:r>
              <w:rPr>
                <w:sz w:val="14"/>
              </w:rPr>
              <w:t>(p&lt;0,001)</w:t>
            </w:r>
          </w:p>
          <w:p>
            <w:pPr>
              <w:pStyle w:val="TableParagraph"/>
              <w:spacing w:line="225" w:lineRule="auto"/>
              <w:ind w:left="79" w:right="82"/>
              <w:rPr>
                <w:sz w:val="14"/>
              </w:rPr>
            </w:pPr>
            <w:r>
              <w:rPr>
                <w:sz w:val="14"/>
              </w:rPr>
              <w:t>Mejor puntuación de vigilia</w:t>
            </w:r>
            <w:r>
              <w:rPr>
                <w:spacing w:val="-28"/>
                <w:sz w:val="14"/>
              </w:rPr>
              <w:t> </w:t>
            </w:r>
            <w:r>
              <w:rPr>
                <w:sz w:val="14"/>
              </w:rPr>
              <w:t>(p&lt;0,05) Mejores parámetros </w:t>
            </w:r>
            <w:r>
              <w:rPr>
                <w:spacing w:val="-3"/>
                <w:sz w:val="14"/>
              </w:rPr>
              <w:t>respiratorios </w:t>
            </w:r>
            <w:r>
              <w:rPr>
                <w:sz w:val="14"/>
              </w:rPr>
              <w:t>(p&lt;0,01).</w:t>
            </w:r>
          </w:p>
        </w:tc>
        <w:tc>
          <w:tcPr>
            <w:tcW w:w="1181" w:type="dxa"/>
          </w:tcPr>
          <w:p>
            <w:pPr>
              <w:pStyle w:val="TableParagraph"/>
              <w:spacing w:line="225" w:lineRule="auto" w:before="111"/>
              <w:ind w:left="56" w:right="33" w:hanging="1"/>
              <w:rPr>
                <w:sz w:val="14"/>
              </w:rPr>
            </w:pPr>
            <w:r>
              <w:rPr>
                <w:sz w:val="14"/>
              </w:rPr>
              <w:t>NVPO sin diferencias significativas Sin reportes </w:t>
            </w:r>
            <w:r>
              <w:rPr>
                <w:spacing w:val="-9"/>
                <w:sz w:val="14"/>
              </w:rPr>
              <w:t>de </w:t>
            </w:r>
            <w:r>
              <w:rPr>
                <w:sz w:val="14"/>
              </w:rPr>
              <w:t>alucinaciones ni confusión.</w:t>
            </w:r>
          </w:p>
        </w:tc>
      </w:tr>
      <w:tr>
        <w:trPr>
          <w:trHeight w:val="1350" w:hRule="atLeast"/>
        </w:trPr>
        <w:tc>
          <w:tcPr>
            <w:tcW w:w="1262" w:type="dxa"/>
          </w:tcPr>
          <w:p>
            <w:pPr>
              <w:pStyle w:val="TableParagraph"/>
              <w:spacing w:line="225" w:lineRule="auto" w:before="127"/>
              <w:ind w:left="207" w:right="163" w:hanging="1"/>
              <w:rPr>
                <w:sz w:val="14"/>
              </w:rPr>
            </w:pPr>
            <w:r>
              <w:rPr>
                <w:sz w:val="14"/>
              </w:rPr>
              <w:t>Nicolas Guillou, et al 2003</w:t>
            </w:r>
            <w:r>
              <w:rPr>
                <w:spacing w:val="-1"/>
                <w:sz w:val="14"/>
              </w:rPr>
              <w:t> </w:t>
            </w:r>
            <w:r>
              <w:rPr>
                <w:spacing w:val="-5"/>
                <w:sz w:val="14"/>
              </w:rPr>
              <w:t>(23)</w:t>
            </w:r>
          </w:p>
        </w:tc>
        <w:tc>
          <w:tcPr>
            <w:tcW w:w="1205" w:type="dxa"/>
          </w:tcPr>
          <w:p>
            <w:pPr>
              <w:pStyle w:val="TableParagraph"/>
              <w:spacing w:line="225" w:lineRule="auto" w:before="112"/>
              <w:ind w:left="120" w:right="121" w:hanging="1"/>
              <w:rPr>
                <w:sz w:val="14"/>
              </w:rPr>
            </w:pPr>
            <w:r>
              <w:rPr>
                <w:spacing w:val="-3"/>
                <w:sz w:val="14"/>
              </w:rPr>
              <w:t>Cirugía abdominal mayor con requerimiento </w:t>
            </w:r>
            <w:r>
              <w:rPr>
                <w:sz w:val="14"/>
              </w:rPr>
              <w:t>de </w:t>
            </w:r>
            <w:r>
              <w:rPr>
                <w:spacing w:val="-3"/>
                <w:sz w:val="14"/>
              </w:rPr>
              <w:t>UCI</w:t>
            </w:r>
          </w:p>
          <w:p>
            <w:pPr>
              <w:pStyle w:val="TableParagraph"/>
              <w:spacing w:line="225" w:lineRule="auto"/>
              <w:ind w:left="4" w:right="6"/>
              <w:rPr>
                <w:sz w:val="14"/>
              </w:rPr>
            </w:pPr>
            <w:r>
              <w:rPr>
                <w:sz w:val="14"/>
              </w:rPr>
              <w:t>(cirugía hepática y esofágica).</w:t>
            </w:r>
          </w:p>
        </w:tc>
        <w:tc>
          <w:tcPr>
            <w:tcW w:w="1190" w:type="dxa"/>
          </w:tcPr>
          <w:p>
            <w:pPr>
              <w:pStyle w:val="TableParagraph"/>
              <w:spacing w:line="225" w:lineRule="auto" w:before="112"/>
              <w:ind w:left="132" w:right="89" w:hanging="1"/>
              <w:rPr>
                <w:sz w:val="14"/>
              </w:rPr>
            </w:pPr>
            <w:r>
              <w:rPr>
                <w:sz w:val="14"/>
              </w:rPr>
              <w:t>Prospectivo, </w:t>
            </w:r>
            <w:r>
              <w:rPr>
                <w:spacing w:val="-1"/>
                <w:sz w:val="14"/>
              </w:rPr>
              <w:t>randomizado, </w:t>
            </w:r>
            <w:r>
              <w:rPr>
                <w:sz w:val="14"/>
              </w:rPr>
              <w:t>doble ciego.</w:t>
            </w:r>
          </w:p>
        </w:tc>
        <w:tc>
          <w:tcPr>
            <w:tcW w:w="1148" w:type="dxa"/>
          </w:tcPr>
          <w:p>
            <w:pPr>
              <w:pStyle w:val="TableParagraph"/>
              <w:spacing w:line="165" w:lineRule="exact" w:before="104"/>
              <w:ind w:left="96"/>
              <w:jc w:val="left"/>
              <w:rPr>
                <w:sz w:val="14"/>
              </w:rPr>
            </w:pPr>
            <w:r>
              <w:rPr>
                <w:sz w:val="14"/>
              </w:rPr>
              <w:t>93 pacientes.</w:t>
            </w:r>
          </w:p>
          <w:p>
            <w:pPr>
              <w:pStyle w:val="TableParagraph"/>
              <w:spacing w:line="165" w:lineRule="exact"/>
              <w:ind w:left="109"/>
              <w:jc w:val="left"/>
              <w:rPr>
                <w:sz w:val="14"/>
              </w:rPr>
            </w:pPr>
            <w:r>
              <w:rPr>
                <w:sz w:val="14"/>
              </w:rPr>
              <w:t>Edad</w:t>
            </w:r>
            <w:r>
              <w:rPr>
                <w:spacing w:val="-4"/>
                <w:sz w:val="14"/>
              </w:rPr>
              <w:t> </w:t>
            </w:r>
            <w:r>
              <w:rPr>
                <w:sz w:val="14"/>
              </w:rPr>
              <w:t>60±16.</w:t>
            </w:r>
          </w:p>
        </w:tc>
        <w:tc>
          <w:tcPr>
            <w:tcW w:w="1205" w:type="dxa"/>
          </w:tcPr>
          <w:p>
            <w:pPr>
              <w:pStyle w:val="TableParagraph"/>
              <w:spacing w:line="225" w:lineRule="auto" w:before="112"/>
              <w:ind w:left="171" w:right="115" w:firstLine="58"/>
              <w:jc w:val="left"/>
              <w:rPr>
                <w:sz w:val="14"/>
              </w:rPr>
            </w:pPr>
            <w:r>
              <w:rPr>
                <w:sz w:val="14"/>
              </w:rPr>
              <w:t>0.5 mg/kg seguida de una infusión de 2 ug/kg/</w:t>
            </w:r>
          </w:p>
          <w:p>
            <w:pPr>
              <w:pStyle w:val="TableParagraph"/>
              <w:spacing w:line="225" w:lineRule="auto"/>
              <w:ind w:left="87" w:right="16" w:hanging="32"/>
              <w:jc w:val="left"/>
              <w:rPr>
                <w:sz w:val="14"/>
              </w:rPr>
            </w:pPr>
            <w:r>
              <w:rPr>
                <w:sz w:val="14"/>
              </w:rPr>
              <w:t>min durante las primeras 24 h.</w:t>
            </w:r>
          </w:p>
        </w:tc>
        <w:tc>
          <w:tcPr>
            <w:tcW w:w="1177" w:type="dxa"/>
          </w:tcPr>
          <w:p>
            <w:pPr>
              <w:pStyle w:val="TableParagraph"/>
              <w:spacing w:line="225" w:lineRule="auto" w:before="112"/>
              <w:ind w:left="125" w:right="125"/>
              <w:rPr>
                <w:sz w:val="14"/>
              </w:rPr>
            </w:pPr>
            <w:r>
              <w:rPr>
                <w:sz w:val="14"/>
              </w:rPr>
              <w:t>Solución salina 0,9% en igual condiciones.</w:t>
            </w:r>
          </w:p>
        </w:tc>
        <w:tc>
          <w:tcPr>
            <w:tcW w:w="1262" w:type="dxa"/>
          </w:tcPr>
          <w:p>
            <w:pPr>
              <w:pStyle w:val="TableParagraph"/>
              <w:spacing w:line="225" w:lineRule="auto" w:before="112"/>
              <w:ind w:left="179" w:right="180"/>
              <w:rPr>
                <w:sz w:val="14"/>
              </w:rPr>
            </w:pPr>
            <w:r>
              <w:rPr>
                <w:sz w:val="14"/>
              </w:rPr>
              <w:t>Reducción del consumo de morfina (p&lt;0,05).</w:t>
            </w:r>
          </w:p>
        </w:tc>
        <w:tc>
          <w:tcPr>
            <w:tcW w:w="1181" w:type="dxa"/>
          </w:tcPr>
          <w:p>
            <w:pPr>
              <w:pStyle w:val="TableParagraph"/>
              <w:spacing w:line="225" w:lineRule="auto" w:before="112"/>
              <w:ind w:left="54" w:right="32" w:hanging="1"/>
              <w:rPr>
                <w:sz w:val="14"/>
              </w:rPr>
            </w:pPr>
            <w:r>
              <w:rPr>
                <w:sz w:val="14"/>
              </w:rPr>
              <w:t>Sin diferencias entre ambos grupos </w:t>
            </w:r>
            <w:r>
              <w:rPr>
                <w:spacing w:val="-2"/>
                <w:sz w:val="14"/>
              </w:rPr>
              <w:t>(NVPO, </w:t>
            </w:r>
            <w:r>
              <w:rPr>
                <w:sz w:val="14"/>
              </w:rPr>
              <w:t>confusión, alucinaciones, </w:t>
            </w:r>
            <w:r>
              <w:rPr>
                <w:spacing w:val="-3"/>
                <w:sz w:val="14"/>
              </w:rPr>
              <w:t>hipoventilación, </w:t>
            </w:r>
            <w:r>
              <w:rPr>
                <w:sz w:val="14"/>
              </w:rPr>
              <w:t>prurito).</w:t>
            </w:r>
          </w:p>
        </w:tc>
      </w:tr>
      <w:tr>
        <w:trPr>
          <w:trHeight w:val="3467" w:hRule="atLeast"/>
        </w:trPr>
        <w:tc>
          <w:tcPr>
            <w:tcW w:w="1262" w:type="dxa"/>
          </w:tcPr>
          <w:p>
            <w:pPr>
              <w:pStyle w:val="TableParagraph"/>
              <w:jc w:val="left"/>
              <w:rPr>
                <w:i/>
                <w:sz w:val="16"/>
              </w:rPr>
            </w:pPr>
          </w:p>
          <w:p>
            <w:pPr>
              <w:pStyle w:val="TableParagraph"/>
              <w:spacing w:line="225" w:lineRule="auto" w:before="120"/>
              <w:ind w:left="293" w:right="246" w:hanging="1"/>
              <w:rPr>
                <w:sz w:val="14"/>
              </w:rPr>
            </w:pPr>
            <w:r>
              <w:rPr>
                <w:sz w:val="14"/>
              </w:rPr>
              <w:t>Jerome Zakine, et al. 2008</w:t>
            </w:r>
          </w:p>
          <w:p>
            <w:pPr>
              <w:pStyle w:val="TableParagraph"/>
              <w:spacing w:line="162" w:lineRule="exact"/>
              <w:ind w:left="82" w:right="39"/>
              <w:rPr>
                <w:sz w:val="14"/>
              </w:rPr>
            </w:pPr>
            <w:r>
              <w:rPr>
                <w:sz w:val="14"/>
              </w:rPr>
              <w:t>(36)</w:t>
            </w:r>
          </w:p>
        </w:tc>
        <w:tc>
          <w:tcPr>
            <w:tcW w:w="1205" w:type="dxa"/>
          </w:tcPr>
          <w:p>
            <w:pPr>
              <w:pStyle w:val="TableParagraph"/>
              <w:jc w:val="left"/>
              <w:rPr>
                <w:i/>
                <w:sz w:val="16"/>
              </w:rPr>
            </w:pPr>
          </w:p>
          <w:p>
            <w:pPr>
              <w:pStyle w:val="TableParagraph"/>
              <w:spacing w:line="225" w:lineRule="auto" w:before="105"/>
              <w:ind w:left="256" w:right="232" w:hanging="1"/>
              <w:rPr>
                <w:sz w:val="14"/>
              </w:rPr>
            </w:pPr>
            <w:r>
              <w:rPr>
                <w:spacing w:val="-3"/>
                <w:sz w:val="14"/>
              </w:rPr>
              <w:t>Cirugía abdominal </w:t>
            </w:r>
            <w:r>
              <w:rPr>
                <w:spacing w:val="-7"/>
                <w:sz w:val="14"/>
              </w:rPr>
              <w:t>mayor.</w:t>
            </w:r>
          </w:p>
          <w:p>
            <w:pPr>
              <w:pStyle w:val="TableParagraph"/>
              <w:spacing w:line="157" w:lineRule="exact"/>
              <w:ind w:left="80" w:right="60"/>
              <w:rPr>
                <w:sz w:val="14"/>
              </w:rPr>
            </w:pPr>
            <w:r>
              <w:rPr>
                <w:spacing w:val="-3"/>
                <w:sz w:val="14"/>
              </w:rPr>
              <w:t>Cirugía</w:t>
            </w:r>
          </w:p>
          <w:p>
            <w:pPr>
              <w:pStyle w:val="TableParagraph"/>
              <w:spacing w:line="160" w:lineRule="exact"/>
              <w:ind w:left="80" w:right="59"/>
              <w:rPr>
                <w:sz w:val="14"/>
              </w:rPr>
            </w:pPr>
            <w:r>
              <w:rPr>
                <w:sz w:val="14"/>
              </w:rPr>
              <w:t>urológica.</w:t>
            </w:r>
          </w:p>
          <w:p>
            <w:pPr>
              <w:pStyle w:val="TableParagraph"/>
              <w:spacing w:line="165" w:lineRule="exact"/>
              <w:ind w:left="29" w:right="6"/>
              <w:rPr>
                <w:sz w:val="14"/>
              </w:rPr>
            </w:pPr>
            <w:r>
              <w:rPr>
                <w:spacing w:val="-3"/>
                <w:sz w:val="14"/>
              </w:rPr>
              <w:t>Cirugía </w:t>
            </w:r>
            <w:r>
              <w:rPr>
                <w:spacing w:val="-6"/>
                <w:sz w:val="14"/>
              </w:rPr>
              <w:t>Vascular.</w:t>
            </w:r>
          </w:p>
        </w:tc>
        <w:tc>
          <w:tcPr>
            <w:tcW w:w="1190" w:type="dxa"/>
          </w:tcPr>
          <w:p>
            <w:pPr>
              <w:pStyle w:val="TableParagraph"/>
              <w:jc w:val="left"/>
              <w:rPr>
                <w:i/>
                <w:sz w:val="16"/>
              </w:rPr>
            </w:pPr>
          </w:p>
          <w:p>
            <w:pPr>
              <w:pStyle w:val="TableParagraph"/>
              <w:spacing w:line="225" w:lineRule="auto" w:before="105"/>
              <w:ind w:left="133" w:right="88" w:hanging="1"/>
              <w:rPr>
                <w:sz w:val="14"/>
              </w:rPr>
            </w:pPr>
            <w:r>
              <w:rPr>
                <w:sz w:val="14"/>
              </w:rPr>
              <w:t>Prospectivo, </w:t>
            </w:r>
            <w:r>
              <w:rPr>
                <w:spacing w:val="-1"/>
                <w:sz w:val="14"/>
              </w:rPr>
              <w:t>randomizado, </w:t>
            </w:r>
            <w:r>
              <w:rPr>
                <w:sz w:val="14"/>
              </w:rPr>
              <w:t>doble ciego.</w:t>
            </w:r>
          </w:p>
        </w:tc>
        <w:tc>
          <w:tcPr>
            <w:tcW w:w="1148" w:type="dxa"/>
          </w:tcPr>
          <w:p>
            <w:pPr>
              <w:pStyle w:val="TableParagraph"/>
              <w:jc w:val="left"/>
              <w:rPr>
                <w:i/>
                <w:sz w:val="16"/>
              </w:rPr>
            </w:pPr>
          </w:p>
          <w:p>
            <w:pPr>
              <w:pStyle w:val="TableParagraph"/>
              <w:spacing w:line="225" w:lineRule="auto" w:before="105"/>
              <w:ind w:left="124" w:right="93" w:firstLine="12"/>
              <w:jc w:val="both"/>
              <w:rPr>
                <w:sz w:val="14"/>
              </w:rPr>
            </w:pPr>
            <w:r>
              <w:rPr>
                <w:sz w:val="14"/>
              </w:rPr>
              <w:t>77 pacientes ASA I, II, III Edad</w:t>
            </w:r>
            <w:r>
              <w:rPr>
                <w:spacing w:val="1"/>
                <w:sz w:val="14"/>
              </w:rPr>
              <w:t> </w:t>
            </w:r>
            <w:r>
              <w:rPr>
                <w:spacing w:val="-3"/>
                <w:sz w:val="14"/>
              </w:rPr>
              <w:t>63±12.</w:t>
            </w:r>
          </w:p>
          <w:p>
            <w:pPr>
              <w:pStyle w:val="TableParagraph"/>
              <w:spacing w:line="162" w:lineRule="exact"/>
              <w:ind w:left="136"/>
              <w:jc w:val="both"/>
              <w:rPr>
                <w:sz w:val="14"/>
              </w:rPr>
            </w:pPr>
            <w:r>
              <w:rPr>
                <w:sz w:val="14"/>
              </w:rPr>
              <w:t>Peso</w:t>
            </w:r>
            <w:r>
              <w:rPr>
                <w:spacing w:val="-4"/>
                <w:sz w:val="14"/>
              </w:rPr>
              <w:t> </w:t>
            </w:r>
            <w:r>
              <w:rPr>
                <w:sz w:val="14"/>
              </w:rPr>
              <w:t>75±15.</w:t>
            </w:r>
          </w:p>
        </w:tc>
        <w:tc>
          <w:tcPr>
            <w:tcW w:w="1205" w:type="dxa"/>
          </w:tcPr>
          <w:p>
            <w:pPr>
              <w:pStyle w:val="TableParagraph"/>
              <w:jc w:val="left"/>
              <w:rPr>
                <w:i/>
                <w:sz w:val="16"/>
              </w:rPr>
            </w:pPr>
          </w:p>
          <w:p>
            <w:pPr>
              <w:pStyle w:val="TableParagraph"/>
              <w:numPr>
                <w:ilvl w:val="0"/>
                <w:numId w:val="2"/>
              </w:numPr>
              <w:tabs>
                <w:tab w:pos="363" w:val="left" w:leader="none"/>
              </w:tabs>
              <w:spacing w:line="225" w:lineRule="auto" w:before="105" w:after="0"/>
              <w:ind w:left="60" w:right="31" w:firstLine="0"/>
              <w:jc w:val="left"/>
              <w:rPr>
                <w:sz w:val="14"/>
              </w:rPr>
            </w:pPr>
            <w:r>
              <w:rPr>
                <w:spacing w:val="-4"/>
                <w:sz w:val="14"/>
              </w:rPr>
              <w:t>Ketamina </w:t>
            </w:r>
            <w:r>
              <w:rPr>
                <w:spacing w:val="-3"/>
                <w:sz w:val="14"/>
              </w:rPr>
              <w:t>0,5mg/Kg en bolo antes </w:t>
            </w:r>
            <w:r>
              <w:rPr>
                <w:sz w:val="14"/>
              </w:rPr>
              <w:t>de </w:t>
            </w:r>
            <w:r>
              <w:rPr>
                <w:spacing w:val="-3"/>
                <w:sz w:val="14"/>
              </w:rPr>
              <w:t>la incisión seguida </w:t>
            </w:r>
            <w:r>
              <w:rPr>
                <w:sz w:val="14"/>
              </w:rPr>
              <w:t>de </w:t>
            </w:r>
            <w:r>
              <w:rPr>
                <w:spacing w:val="-3"/>
                <w:sz w:val="14"/>
              </w:rPr>
              <w:t>infusión </w:t>
            </w:r>
            <w:r>
              <w:rPr>
                <w:spacing w:val="-7"/>
                <w:sz w:val="14"/>
              </w:rPr>
              <w:t>2ug/ </w:t>
            </w:r>
            <w:r>
              <w:rPr>
                <w:spacing w:val="-3"/>
                <w:sz w:val="14"/>
              </w:rPr>
              <w:t>kg/min </w:t>
            </w:r>
            <w:r>
              <w:rPr>
                <w:spacing w:val="-4"/>
                <w:sz w:val="14"/>
              </w:rPr>
              <w:t>durante </w:t>
            </w:r>
            <w:r>
              <w:rPr>
                <w:spacing w:val="-3"/>
                <w:sz w:val="14"/>
              </w:rPr>
              <w:t>cirugía</w:t>
            </w:r>
          </w:p>
          <w:p>
            <w:pPr>
              <w:pStyle w:val="TableParagraph"/>
              <w:numPr>
                <w:ilvl w:val="0"/>
                <w:numId w:val="2"/>
              </w:numPr>
              <w:tabs>
                <w:tab w:pos="383" w:val="left" w:leader="none"/>
              </w:tabs>
              <w:spacing w:line="157" w:lineRule="exact" w:before="0" w:after="0"/>
              <w:ind w:left="382" w:right="0" w:hanging="354"/>
              <w:jc w:val="left"/>
              <w:rPr>
                <w:sz w:val="14"/>
              </w:rPr>
            </w:pPr>
            <w:r>
              <w:rPr>
                <w:spacing w:val="-4"/>
                <w:sz w:val="14"/>
              </w:rPr>
              <w:t>Ketamina</w:t>
            </w:r>
          </w:p>
          <w:p>
            <w:pPr>
              <w:pStyle w:val="TableParagraph"/>
              <w:spacing w:line="225" w:lineRule="auto" w:before="4"/>
              <w:ind w:left="53" w:right="23" w:firstLine="1"/>
              <w:rPr>
                <w:sz w:val="14"/>
              </w:rPr>
            </w:pPr>
            <w:r>
              <w:rPr>
                <w:spacing w:val="-3"/>
                <w:sz w:val="14"/>
              </w:rPr>
              <w:t>0,5mg/Kg en bolo seguida de infusión </w:t>
            </w:r>
            <w:r>
              <w:rPr>
                <w:spacing w:val="-5"/>
                <w:sz w:val="14"/>
              </w:rPr>
              <w:t>2ug/kg/ </w:t>
            </w:r>
            <w:r>
              <w:rPr>
                <w:sz w:val="14"/>
              </w:rPr>
              <w:t>min </w:t>
            </w:r>
            <w:r>
              <w:rPr>
                <w:spacing w:val="-3"/>
                <w:sz w:val="14"/>
              </w:rPr>
              <w:t>durante 48 hrs.</w:t>
            </w:r>
          </w:p>
        </w:tc>
        <w:tc>
          <w:tcPr>
            <w:tcW w:w="1177" w:type="dxa"/>
          </w:tcPr>
          <w:p>
            <w:pPr>
              <w:pStyle w:val="TableParagraph"/>
              <w:jc w:val="left"/>
              <w:rPr>
                <w:i/>
                <w:sz w:val="16"/>
              </w:rPr>
            </w:pPr>
          </w:p>
          <w:p>
            <w:pPr>
              <w:pStyle w:val="TableParagraph"/>
              <w:spacing w:line="225" w:lineRule="auto" w:before="105"/>
              <w:ind w:left="89" w:right="2" w:firstLine="107"/>
              <w:jc w:val="left"/>
              <w:rPr>
                <w:sz w:val="14"/>
              </w:rPr>
            </w:pPr>
            <w:r>
              <w:rPr>
                <w:sz w:val="14"/>
              </w:rPr>
              <w:t>3. 10 ml de solución </w:t>
            </w:r>
            <w:r>
              <w:rPr>
                <w:spacing w:val="-3"/>
                <w:sz w:val="14"/>
              </w:rPr>
              <w:t>salina </w:t>
            </w:r>
            <w:r>
              <w:rPr>
                <w:sz w:val="14"/>
              </w:rPr>
              <w:t>normal antes de la</w:t>
            </w:r>
            <w:r>
              <w:rPr>
                <w:spacing w:val="-6"/>
                <w:sz w:val="14"/>
              </w:rPr>
              <w:t> </w:t>
            </w:r>
            <w:r>
              <w:rPr>
                <w:sz w:val="14"/>
              </w:rPr>
              <w:t>incisión</w:t>
            </w:r>
          </w:p>
          <w:p>
            <w:pPr>
              <w:pStyle w:val="TableParagraph"/>
              <w:spacing w:line="225" w:lineRule="auto" w:before="1"/>
              <w:ind w:left="89" w:right="49" w:hanging="1"/>
              <w:rPr>
                <w:sz w:val="14"/>
              </w:rPr>
            </w:pPr>
            <w:r>
              <w:rPr>
                <w:sz w:val="14"/>
              </w:rPr>
              <w:t>seguida de una infusión de 50 ml se solución </w:t>
            </w:r>
            <w:r>
              <w:rPr>
                <w:spacing w:val="-3"/>
                <w:sz w:val="14"/>
              </w:rPr>
              <w:t>salina </w:t>
            </w:r>
            <w:r>
              <w:rPr>
                <w:sz w:val="14"/>
              </w:rPr>
              <w:t>durante</w:t>
            </w:r>
            <w:r>
              <w:rPr>
                <w:spacing w:val="-2"/>
                <w:sz w:val="14"/>
              </w:rPr>
              <w:t> </w:t>
            </w:r>
            <w:r>
              <w:rPr>
                <w:sz w:val="14"/>
              </w:rPr>
              <w:t>la</w:t>
            </w:r>
          </w:p>
          <w:p>
            <w:pPr>
              <w:pStyle w:val="TableParagraph"/>
              <w:spacing w:line="225" w:lineRule="auto"/>
              <w:ind w:left="52" w:right="12"/>
              <w:rPr>
                <w:sz w:val="14"/>
              </w:rPr>
            </w:pPr>
            <w:r>
              <w:rPr>
                <w:sz w:val="14"/>
              </w:rPr>
              <w:t>cirugía y 48 hrs posoperatorias.</w:t>
            </w:r>
          </w:p>
        </w:tc>
        <w:tc>
          <w:tcPr>
            <w:tcW w:w="1262" w:type="dxa"/>
          </w:tcPr>
          <w:p>
            <w:pPr>
              <w:pStyle w:val="TableParagraph"/>
              <w:jc w:val="left"/>
              <w:rPr>
                <w:i/>
                <w:sz w:val="16"/>
              </w:rPr>
            </w:pPr>
          </w:p>
          <w:p>
            <w:pPr>
              <w:pStyle w:val="TableParagraph"/>
              <w:spacing w:line="225" w:lineRule="auto" w:before="106"/>
              <w:ind w:left="253" w:right="37" w:hanging="187"/>
              <w:jc w:val="left"/>
              <w:rPr>
                <w:sz w:val="14"/>
              </w:rPr>
            </w:pPr>
            <w:r>
              <w:rPr>
                <w:spacing w:val="-3"/>
                <w:sz w:val="14"/>
              </w:rPr>
              <w:t>Redujo</w:t>
            </w:r>
            <w:r>
              <w:rPr>
                <w:spacing w:val="-11"/>
                <w:sz w:val="14"/>
              </w:rPr>
              <w:t> </w:t>
            </w:r>
            <w:r>
              <w:rPr>
                <w:sz w:val="14"/>
              </w:rPr>
              <w:t>consumo de morfina en grupo 2 (p&lt;0,008),</w:t>
            </w:r>
          </w:p>
          <w:p>
            <w:pPr>
              <w:pStyle w:val="TableParagraph"/>
              <w:spacing w:line="225" w:lineRule="auto"/>
              <w:ind w:left="165" w:hanging="20"/>
              <w:jc w:val="left"/>
              <w:rPr>
                <w:sz w:val="14"/>
              </w:rPr>
            </w:pPr>
            <w:r>
              <w:rPr>
                <w:sz w:val="14"/>
              </w:rPr>
              <w:t>sin diferencias entre grupo 1</w:t>
            </w:r>
          </w:p>
          <w:p>
            <w:pPr>
              <w:pStyle w:val="TableParagraph"/>
              <w:spacing w:line="162" w:lineRule="exact"/>
              <w:ind w:left="506"/>
              <w:jc w:val="left"/>
              <w:rPr>
                <w:sz w:val="14"/>
              </w:rPr>
            </w:pPr>
            <w:r>
              <w:rPr>
                <w:sz w:val="14"/>
              </w:rPr>
              <w:t>y 3.</w:t>
            </w:r>
          </w:p>
        </w:tc>
        <w:tc>
          <w:tcPr>
            <w:tcW w:w="1181" w:type="dxa"/>
          </w:tcPr>
          <w:p>
            <w:pPr>
              <w:pStyle w:val="TableParagraph"/>
              <w:jc w:val="left"/>
              <w:rPr>
                <w:i/>
                <w:sz w:val="16"/>
              </w:rPr>
            </w:pPr>
          </w:p>
          <w:p>
            <w:pPr>
              <w:pStyle w:val="TableParagraph"/>
              <w:spacing w:line="165" w:lineRule="exact" w:before="97"/>
              <w:ind w:left="28"/>
              <w:rPr>
                <w:sz w:val="14"/>
              </w:rPr>
            </w:pPr>
            <w:r>
              <w:rPr>
                <w:spacing w:val="-4"/>
                <w:sz w:val="14"/>
              </w:rPr>
              <w:t>Menor </w:t>
            </w:r>
            <w:r>
              <w:rPr>
                <w:spacing w:val="-5"/>
                <w:sz w:val="14"/>
              </w:rPr>
              <w:t>incidencia</w:t>
            </w:r>
          </w:p>
          <w:p>
            <w:pPr>
              <w:pStyle w:val="TableParagraph"/>
              <w:spacing w:line="225" w:lineRule="auto" w:before="4"/>
              <w:ind w:left="237" w:right="202" w:hanging="5"/>
              <w:rPr>
                <w:sz w:val="14"/>
              </w:rPr>
            </w:pPr>
            <w:r>
              <w:rPr>
                <w:spacing w:val="-3"/>
                <w:sz w:val="14"/>
              </w:rPr>
              <w:t>de </w:t>
            </w:r>
            <w:r>
              <w:rPr>
                <w:spacing w:val="-5"/>
                <w:sz w:val="14"/>
              </w:rPr>
              <w:t>NVPO </w:t>
            </w:r>
            <w:r>
              <w:rPr>
                <w:spacing w:val="-3"/>
                <w:sz w:val="14"/>
              </w:rPr>
              <w:t>en </w:t>
            </w:r>
            <w:r>
              <w:rPr>
                <w:spacing w:val="-4"/>
                <w:sz w:val="14"/>
              </w:rPr>
              <w:t>grupo</w:t>
            </w:r>
            <w:r>
              <w:rPr>
                <w:spacing w:val="-14"/>
                <w:sz w:val="14"/>
              </w:rPr>
              <w:t> </w:t>
            </w:r>
            <w:r>
              <w:rPr>
                <w:spacing w:val="-13"/>
                <w:sz w:val="14"/>
              </w:rPr>
              <w:t>1 </w:t>
            </w:r>
            <w:r>
              <w:rPr>
                <w:spacing w:val="-5"/>
                <w:sz w:val="14"/>
              </w:rPr>
              <w:t>(p&lt;0,005)</w:t>
            </w:r>
          </w:p>
          <w:p>
            <w:pPr>
              <w:pStyle w:val="TableParagraph"/>
              <w:spacing w:line="225" w:lineRule="auto"/>
              <w:ind w:left="104" w:right="74"/>
              <w:rPr>
                <w:sz w:val="14"/>
              </w:rPr>
            </w:pPr>
            <w:r>
              <w:rPr>
                <w:spacing w:val="-4"/>
                <w:sz w:val="14"/>
              </w:rPr>
              <w:t>Sin </w:t>
            </w:r>
            <w:r>
              <w:rPr>
                <w:spacing w:val="-5"/>
                <w:sz w:val="14"/>
              </w:rPr>
              <w:t>diferencias significativas </w:t>
            </w:r>
            <w:r>
              <w:rPr>
                <w:spacing w:val="-3"/>
                <w:sz w:val="14"/>
              </w:rPr>
              <w:t>en </w:t>
            </w:r>
            <w:r>
              <w:rPr>
                <w:spacing w:val="-5"/>
                <w:sz w:val="14"/>
              </w:rPr>
              <w:t>puntajes</w:t>
            </w:r>
            <w:r>
              <w:rPr>
                <w:spacing w:val="-10"/>
                <w:sz w:val="14"/>
              </w:rPr>
              <w:t> </w:t>
            </w:r>
            <w:r>
              <w:rPr>
                <w:spacing w:val="-5"/>
                <w:sz w:val="14"/>
              </w:rPr>
              <w:t>de sedación entre </w:t>
            </w:r>
            <w:r>
              <w:rPr>
                <w:spacing w:val="-4"/>
                <w:sz w:val="14"/>
              </w:rPr>
              <w:t>los</w:t>
            </w:r>
            <w:r>
              <w:rPr>
                <w:spacing w:val="-9"/>
                <w:sz w:val="14"/>
              </w:rPr>
              <w:t> </w:t>
            </w:r>
            <w:r>
              <w:rPr>
                <w:spacing w:val="-5"/>
                <w:sz w:val="14"/>
              </w:rPr>
              <w:t>grupos</w:t>
            </w:r>
          </w:p>
          <w:p>
            <w:pPr>
              <w:pStyle w:val="TableParagraph"/>
              <w:spacing w:line="225" w:lineRule="auto"/>
              <w:ind w:left="46" w:right="16" w:hanging="1"/>
              <w:rPr>
                <w:sz w:val="14"/>
              </w:rPr>
            </w:pPr>
            <w:r>
              <w:rPr>
                <w:spacing w:val="-3"/>
                <w:sz w:val="14"/>
              </w:rPr>
              <w:t>No </w:t>
            </w:r>
            <w:r>
              <w:rPr>
                <w:spacing w:val="-5"/>
                <w:sz w:val="14"/>
              </w:rPr>
              <w:t>se </w:t>
            </w:r>
            <w:r>
              <w:rPr>
                <w:spacing w:val="-6"/>
                <w:sz w:val="14"/>
              </w:rPr>
              <w:t>observaron </w:t>
            </w:r>
            <w:r>
              <w:rPr>
                <w:spacing w:val="-5"/>
                <w:sz w:val="14"/>
              </w:rPr>
              <w:t>desórdenes psiquiátricos, alucinaciones, pesadillas nocturnas </w:t>
            </w:r>
            <w:r>
              <w:rPr>
                <w:sz w:val="14"/>
              </w:rPr>
              <w:t>o </w:t>
            </w:r>
            <w:r>
              <w:rPr>
                <w:spacing w:val="-5"/>
                <w:sz w:val="14"/>
              </w:rPr>
              <w:t>trastornos del </w:t>
            </w:r>
            <w:r>
              <w:rPr>
                <w:spacing w:val="-4"/>
                <w:sz w:val="14"/>
              </w:rPr>
              <w:t>sueño </w:t>
            </w:r>
            <w:r>
              <w:rPr>
                <w:spacing w:val="-3"/>
                <w:sz w:val="14"/>
              </w:rPr>
              <w:t>en</w:t>
            </w:r>
            <w:r>
              <w:rPr>
                <w:spacing w:val="-14"/>
                <w:sz w:val="14"/>
              </w:rPr>
              <w:t> </w:t>
            </w:r>
            <w:r>
              <w:rPr>
                <w:spacing w:val="-5"/>
                <w:sz w:val="14"/>
              </w:rPr>
              <w:t>ningún grupo.</w:t>
            </w:r>
          </w:p>
        </w:tc>
      </w:tr>
      <w:tr>
        <w:trPr>
          <w:trHeight w:val="2310" w:hRule="atLeast"/>
        </w:trPr>
        <w:tc>
          <w:tcPr>
            <w:tcW w:w="1262" w:type="dxa"/>
          </w:tcPr>
          <w:p>
            <w:pPr>
              <w:pStyle w:val="TableParagraph"/>
              <w:spacing w:line="225" w:lineRule="auto" w:before="130"/>
              <w:ind w:left="185" w:right="164" w:firstLine="39"/>
              <w:jc w:val="left"/>
              <w:rPr>
                <w:sz w:val="14"/>
              </w:rPr>
            </w:pPr>
            <w:r>
              <w:rPr>
                <w:sz w:val="14"/>
              </w:rPr>
              <w:t>Gillies A, et al 2007 (37)</w:t>
            </w:r>
          </w:p>
        </w:tc>
        <w:tc>
          <w:tcPr>
            <w:tcW w:w="1205" w:type="dxa"/>
          </w:tcPr>
          <w:p>
            <w:pPr>
              <w:pStyle w:val="TableParagraph"/>
              <w:spacing w:line="225" w:lineRule="auto" w:before="115"/>
              <w:ind w:left="337" w:right="117" w:hanging="201"/>
              <w:jc w:val="left"/>
              <w:rPr>
                <w:sz w:val="14"/>
              </w:rPr>
            </w:pPr>
            <w:r>
              <w:rPr>
                <w:sz w:val="14"/>
              </w:rPr>
              <w:t>No especifica tipo de cirugía.</w:t>
            </w:r>
          </w:p>
        </w:tc>
        <w:tc>
          <w:tcPr>
            <w:tcW w:w="1190" w:type="dxa"/>
          </w:tcPr>
          <w:p>
            <w:pPr>
              <w:pStyle w:val="TableParagraph"/>
              <w:spacing w:line="225" w:lineRule="auto" w:before="115"/>
              <w:ind w:left="79" w:right="34"/>
              <w:rPr>
                <w:sz w:val="14"/>
              </w:rPr>
            </w:pPr>
            <w:r>
              <w:rPr>
                <w:sz w:val="14"/>
              </w:rPr>
              <w:t>Randomizado, doble ciego, controlado.</w:t>
            </w:r>
          </w:p>
        </w:tc>
        <w:tc>
          <w:tcPr>
            <w:tcW w:w="1148" w:type="dxa"/>
          </w:tcPr>
          <w:p>
            <w:pPr>
              <w:pStyle w:val="TableParagraph"/>
              <w:spacing w:line="165" w:lineRule="exact" w:before="107"/>
              <w:ind w:left="81" w:right="81"/>
              <w:rPr>
                <w:sz w:val="14"/>
              </w:rPr>
            </w:pPr>
            <w:r>
              <w:rPr>
                <w:sz w:val="14"/>
              </w:rPr>
              <w:t>41 pacientes</w:t>
            </w:r>
          </w:p>
          <w:p>
            <w:pPr>
              <w:pStyle w:val="TableParagraph"/>
              <w:spacing w:line="160" w:lineRule="exact"/>
              <w:ind w:left="81" w:right="81"/>
              <w:rPr>
                <w:sz w:val="14"/>
              </w:rPr>
            </w:pPr>
            <w:r>
              <w:rPr>
                <w:sz w:val="14"/>
              </w:rPr>
              <w:t>ASA</w:t>
            </w:r>
            <w:r>
              <w:rPr>
                <w:spacing w:val="-3"/>
                <w:sz w:val="14"/>
              </w:rPr>
              <w:t> </w:t>
            </w:r>
            <w:r>
              <w:rPr>
                <w:sz w:val="14"/>
              </w:rPr>
              <w:t>I,II,III</w:t>
            </w:r>
          </w:p>
          <w:p>
            <w:pPr>
              <w:pStyle w:val="TableParagraph"/>
              <w:spacing w:line="225" w:lineRule="auto" w:before="3"/>
              <w:ind w:left="81" w:right="79"/>
              <w:rPr>
                <w:sz w:val="14"/>
              </w:rPr>
            </w:pPr>
            <w:r>
              <w:rPr>
                <w:sz w:val="14"/>
              </w:rPr>
              <w:t>Edad ~58. Peso~77.</w:t>
            </w:r>
          </w:p>
        </w:tc>
        <w:tc>
          <w:tcPr>
            <w:tcW w:w="1205" w:type="dxa"/>
          </w:tcPr>
          <w:p>
            <w:pPr>
              <w:pStyle w:val="TableParagraph"/>
              <w:spacing w:line="165" w:lineRule="exact" w:before="107"/>
              <w:ind w:left="198"/>
              <w:jc w:val="left"/>
              <w:rPr>
                <w:sz w:val="14"/>
              </w:rPr>
            </w:pPr>
            <w:r>
              <w:rPr>
                <w:sz w:val="14"/>
              </w:rPr>
              <w:t>0,25 mg EV</w:t>
            </w:r>
          </w:p>
          <w:p>
            <w:pPr>
              <w:pStyle w:val="TableParagraph"/>
              <w:spacing w:line="225" w:lineRule="auto" w:before="3"/>
              <w:ind w:left="108" w:firstLine="142"/>
              <w:jc w:val="left"/>
              <w:rPr>
                <w:sz w:val="14"/>
              </w:rPr>
            </w:pPr>
            <w:r>
              <w:rPr>
                <w:sz w:val="14"/>
              </w:rPr>
              <w:t>bolo único posoperatorio.</w:t>
            </w:r>
          </w:p>
        </w:tc>
        <w:tc>
          <w:tcPr>
            <w:tcW w:w="1177" w:type="dxa"/>
          </w:tcPr>
          <w:p>
            <w:pPr>
              <w:pStyle w:val="TableParagraph"/>
              <w:spacing w:line="225" w:lineRule="auto" w:before="115"/>
              <w:ind w:left="154" w:right="106" w:firstLine="146"/>
              <w:jc w:val="left"/>
              <w:rPr>
                <w:sz w:val="14"/>
              </w:rPr>
            </w:pPr>
            <w:r>
              <w:rPr>
                <w:sz w:val="14"/>
              </w:rPr>
              <w:t>Solución salina 0,9%.</w:t>
            </w:r>
          </w:p>
        </w:tc>
        <w:tc>
          <w:tcPr>
            <w:tcW w:w="1262" w:type="dxa"/>
          </w:tcPr>
          <w:p>
            <w:pPr>
              <w:pStyle w:val="TableParagraph"/>
              <w:spacing w:line="225" w:lineRule="auto" w:before="115"/>
              <w:ind w:left="123" w:right="36" w:hanging="58"/>
              <w:jc w:val="left"/>
              <w:rPr>
                <w:sz w:val="14"/>
              </w:rPr>
            </w:pPr>
            <w:r>
              <w:rPr>
                <w:spacing w:val="-3"/>
                <w:sz w:val="14"/>
              </w:rPr>
              <w:t>Reducción </w:t>
            </w:r>
            <w:r>
              <w:rPr>
                <w:sz w:val="14"/>
              </w:rPr>
              <w:t>en </w:t>
            </w:r>
            <w:r>
              <w:rPr>
                <w:spacing w:val="-6"/>
                <w:sz w:val="14"/>
              </w:rPr>
              <w:t>las </w:t>
            </w:r>
            <w:r>
              <w:rPr>
                <w:spacing w:val="-2"/>
                <w:sz w:val="14"/>
              </w:rPr>
              <w:t>puntuaciones </w:t>
            </w:r>
            <w:r>
              <w:rPr>
                <w:sz w:val="14"/>
              </w:rPr>
              <w:t>de dolor en ambos </w:t>
            </w:r>
            <w:r>
              <w:rPr>
                <w:spacing w:val="-2"/>
                <w:sz w:val="14"/>
              </w:rPr>
              <w:t>grupos </w:t>
            </w:r>
            <w:r>
              <w:rPr>
                <w:sz w:val="14"/>
              </w:rPr>
              <w:t>sin diferencias </w:t>
            </w:r>
            <w:r>
              <w:rPr>
                <w:spacing w:val="-3"/>
                <w:sz w:val="14"/>
              </w:rPr>
              <w:t>significativas </w:t>
            </w:r>
            <w:r>
              <w:rPr>
                <w:sz w:val="14"/>
              </w:rPr>
              <w:t>a los 45min( p = 0,065) al alta pos</w:t>
            </w:r>
            <w:r>
              <w:rPr>
                <w:spacing w:val="-2"/>
                <w:sz w:val="14"/>
              </w:rPr>
              <w:t> </w:t>
            </w:r>
            <w:r>
              <w:rPr>
                <w:spacing w:val="-3"/>
                <w:sz w:val="14"/>
              </w:rPr>
              <w:t>operatoria</w:t>
            </w:r>
          </w:p>
          <w:p>
            <w:pPr>
              <w:pStyle w:val="TableParagraph"/>
              <w:spacing w:line="157" w:lineRule="exact"/>
              <w:ind w:left="82" w:right="56"/>
              <w:rPr>
                <w:sz w:val="14"/>
              </w:rPr>
            </w:pPr>
            <w:r>
              <w:rPr>
                <w:sz w:val="14"/>
              </w:rPr>
              <w:t>(p =0,38) y</w:t>
            </w:r>
          </w:p>
          <w:p>
            <w:pPr>
              <w:pStyle w:val="TableParagraph"/>
              <w:spacing w:line="225" w:lineRule="auto" w:before="4"/>
              <w:ind w:left="82" w:right="54"/>
              <w:rPr>
                <w:sz w:val="14"/>
              </w:rPr>
            </w:pPr>
            <w:r>
              <w:rPr>
                <w:sz w:val="14"/>
              </w:rPr>
              <w:t>a las 4 h pos operatorias (p=0,3).</w:t>
            </w:r>
          </w:p>
        </w:tc>
        <w:tc>
          <w:tcPr>
            <w:tcW w:w="1181" w:type="dxa"/>
          </w:tcPr>
          <w:p>
            <w:pPr>
              <w:pStyle w:val="TableParagraph"/>
              <w:spacing w:line="225" w:lineRule="auto" w:before="116"/>
              <w:ind w:left="66" w:right="71"/>
              <w:rPr>
                <w:sz w:val="14"/>
              </w:rPr>
            </w:pPr>
            <w:r>
              <w:rPr>
                <w:sz w:val="14"/>
              </w:rPr>
              <w:t>Sin diferencias significativas en cuanto a sedación y NVPO.</w:t>
            </w:r>
          </w:p>
        </w:tc>
      </w:tr>
    </w:tbl>
    <w:p>
      <w:pPr>
        <w:spacing w:after="0" w:line="225" w:lineRule="auto"/>
        <w:rPr>
          <w:sz w:val="14"/>
        </w:rPr>
        <w:sectPr>
          <w:pgSz w:w="11910" w:h="15310"/>
          <w:pgMar w:header="694" w:footer="0" w:top="1100" w:bottom="280" w:left="1020" w:right="1020"/>
        </w:sectPr>
      </w:pPr>
    </w:p>
    <w:p>
      <w:pPr>
        <w:pStyle w:val="BodyText"/>
        <w:spacing w:before="4" w:after="1"/>
        <w:rPr>
          <w:rFonts w:ascii="Verdana"/>
          <w:i/>
          <w:sz w:val="23"/>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1205"/>
        <w:gridCol w:w="1190"/>
        <w:gridCol w:w="1148"/>
        <w:gridCol w:w="1205"/>
        <w:gridCol w:w="1177"/>
        <w:gridCol w:w="1262"/>
        <w:gridCol w:w="1181"/>
      </w:tblGrid>
      <w:tr>
        <w:trPr>
          <w:trHeight w:val="698" w:hRule="atLeast"/>
        </w:trPr>
        <w:tc>
          <w:tcPr>
            <w:tcW w:w="1262" w:type="dxa"/>
          </w:tcPr>
          <w:p>
            <w:pPr>
              <w:pStyle w:val="TableParagraph"/>
              <w:spacing w:before="112"/>
              <w:ind w:left="333"/>
              <w:jc w:val="left"/>
              <w:rPr>
                <w:b/>
                <w:sz w:val="14"/>
              </w:rPr>
            </w:pPr>
            <w:r>
              <w:rPr>
                <w:b/>
                <w:sz w:val="14"/>
              </w:rPr>
              <w:t>Estudio</w:t>
            </w:r>
          </w:p>
        </w:tc>
        <w:tc>
          <w:tcPr>
            <w:tcW w:w="1205" w:type="dxa"/>
          </w:tcPr>
          <w:p>
            <w:pPr>
              <w:pStyle w:val="TableParagraph"/>
              <w:spacing w:line="225" w:lineRule="auto" w:before="105"/>
              <w:ind w:left="76" w:right="115" w:firstLine="203"/>
              <w:jc w:val="left"/>
              <w:rPr>
                <w:b/>
                <w:sz w:val="14"/>
              </w:rPr>
            </w:pPr>
            <w:r>
              <w:rPr>
                <w:b/>
                <w:sz w:val="14"/>
              </w:rPr>
              <w:t>Tipo de intervención</w:t>
            </w:r>
          </w:p>
        </w:tc>
        <w:tc>
          <w:tcPr>
            <w:tcW w:w="1190" w:type="dxa"/>
          </w:tcPr>
          <w:p>
            <w:pPr>
              <w:pStyle w:val="TableParagraph"/>
              <w:spacing w:line="225" w:lineRule="auto" w:before="105"/>
              <w:ind w:left="319" w:right="259" w:firstLine="2"/>
              <w:jc w:val="left"/>
              <w:rPr>
                <w:b/>
                <w:sz w:val="14"/>
              </w:rPr>
            </w:pPr>
            <w:r>
              <w:rPr>
                <w:b/>
                <w:sz w:val="14"/>
              </w:rPr>
              <w:t>Tipo de estudio</w:t>
            </w:r>
          </w:p>
        </w:tc>
        <w:tc>
          <w:tcPr>
            <w:tcW w:w="1148" w:type="dxa"/>
          </w:tcPr>
          <w:p>
            <w:pPr>
              <w:pStyle w:val="TableParagraph"/>
              <w:spacing w:before="97"/>
              <w:ind w:left="189"/>
              <w:jc w:val="left"/>
              <w:rPr>
                <w:b/>
                <w:sz w:val="14"/>
              </w:rPr>
            </w:pPr>
            <w:r>
              <w:rPr>
                <w:b/>
                <w:sz w:val="14"/>
              </w:rPr>
              <w:t>Pacientes</w:t>
            </w:r>
          </w:p>
        </w:tc>
        <w:tc>
          <w:tcPr>
            <w:tcW w:w="1205" w:type="dxa"/>
          </w:tcPr>
          <w:p>
            <w:pPr>
              <w:pStyle w:val="TableParagraph"/>
              <w:spacing w:line="225" w:lineRule="auto" w:before="105"/>
              <w:ind w:left="259" w:right="73" w:hanging="169"/>
              <w:jc w:val="left"/>
              <w:rPr>
                <w:b/>
                <w:sz w:val="14"/>
              </w:rPr>
            </w:pPr>
            <w:r>
              <w:rPr>
                <w:b/>
                <w:sz w:val="14"/>
              </w:rPr>
              <w:t>Dosis de KET utilizada</w:t>
            </w:r>
          </w:p>
        </w:tc>
        <w:tc>
          <w:tcPr>
            <w:tcW w:w="1177" w:type="dxa"/>
          </w:tcPr>
          <w:p>
            <w:pPr>
              <w:pStyle w:val="TableParagraph"/>
              <w:spacing w:line="225" w:lineRule="auto" w:before="105"/>
              <w:ind w:left="318" w:right="273" w:firstLine="39"/>
              <w:jc w:val="left"/>
              <w:rPr>
                <w:b/>
                <w:sz w:val="14"/>
              </w:rPr>
            </w:pPr>
            <w:r>
              <w:rPr>
                <w:b/>
                <w:sz w:val="14"/>
              </w:rPr>
              <w:t>Grupo control</w:t>
            </w:r>
          </w:p>
        </w:tc>
        <w:tc>
          <w:tcPr>
            <w:tcW w:w="1262" w:type="dxa"/>
          </w:tcPr>
          <w:p>
            <w:pPr>
              <w:pStyle w:val="TableParagraph"/>
              <w:spacing w:before="97"/>
              <w:ind w:left="176"/>
              <w:jc w:val="left"/>
              <w:rPr>
                <w:b/>
                <w:sz w:val="14"/>
              </w:rPr>
            </w:pPr>
            <w:r>
              <w:rPr>
                <w:b/>
                <w:sz w:val="14"/>
              </w:rPr>
              <w:t>Resultados</w:t>
            </w:r>
          </w:p>
        </w:tc>
        <w:tc>
          <w:tcPr>
            <w:tcW w:w="1181" w:type="dxa"/>
          </w:tcPr>
          <w:p>
            <w:pPr>
              <w:pStyle w:val="TableParagraph"/>
              <w:spacing w:line="225" w:lineRule="auto" w:before="105"/>
              <w:ind w:left="194" w:right="201" w:hanging="1"/>
              <w:rPr>
                <w:b/>
                <w:sz w:val="14"/>
              </w:rPr>
            </w:pPr>
            <w:r>
              <w:rPr>
                <w:b/>
                <w:sz w:val="14"/>
              </w:rPr>
              <w:t>Efectos adversos asociados</w:t>
            </w:r>
          </w:p>
        </w:tc>
      </w:tr>
      <w:tr>
        <w:trPr>
          <w:trHeight w:val="3914" w:hRule="atLeast"/>
        </w:trPr>
        <w:tc>
          <w:tcPr>
            <w:tcW w:w="1262" w:type="dxa"/>
          </w:tcPr>
          <w:p>
            <w:pPr>
              <w:pStyle w:val="TableParagraph"/>
              <w:spacing w:line="225" w:lineRule="auto" w:before="121"/>
              <w:ind w:left="218" w:right="216" w:hanging="1"/>
              <w:rPr>
                <w:sz w:val="14"/>
              </w:rPr>
            </w:pPr>
            <w:r>
              <w:rPr>
                <w:sz w:val="14"/>
              </w:rPr>
              <w:t>Frédéric Adam, et </w:t>
            </w:r>
            <w:r>
              <w:rPr>
                <w:spacing w:val="-8"/>
                <w:sz w:val="14"/>
              </w:rPr>
              <w:t>al </w:t>
            </w:r>
            <w:r>
              <w:rPr>
                <w:sz w:val="14"/>
              </w:rPr>
              <w:t>2005</w:t>
            </w:r>
          </w:p>
          <w:p>
            <w:pPr>
              <w:pStyle w:val="TableParagraph"/>
              <w:spacing w:line="162" w:lineRule="exact"/>
              <w:ind w:left="81" w:right="82"/>
              <w:rPr>
                <w:sz w:val="14"/>
              </w:rPr>
            </w:pPr>
            <w:r>
              <w:rPr>
                <w:sz w:val="14"/>
              </w:rPr>
              <w:t>(38)</w:t>
            </w:r>
          </w:p>
        </w:tc>
        <w:tc>
          <w:tcPr>
            <w:tcW w:w="1205" w:type="dxa"/>
          </w:tcPr>
          <w:p>
            <w:pPr>
              <w:pStyle w:val="TableParagraph"/>
              <w:spacing w:line="225" w:lineRule="auto" w:before="106"/>
              <w:ind w:left="188" w:right="187"/>
              <w:rPr>
                <w:sz w:val="14"/>
              </w:rPr>
            </w:pPr>
            <w:r>
              <w:rPr>
                <w:sz w:val="14"/>
              </w:rPr>
              <w:t>Artroplastía total de rodilla.</w:t>
            </w:r>
          </w:p>
        </w:tc>
        <w:tc>
          <w:tcPr>
            <w:tcW w:w="1190" w:type="dxa"/>
          </w:tcPr>
          <w:p>
            <w:pPr>
              <w:pStyle w:val="TableParagraph"/>
              <w:spacing w:line="165" w:lineRule="exact" w:before="98"/>
              <w:ind w:left="113"/>
              <w:jc w:val="left"/>
              <w:rPr>
                <w:sz w:val="14"/>
              </w:rPr>
            </w:pPr>
            <w:r>
              <w:rPr>
                <w:sz w:val="14"/>
              </w:rPr>
              <w:t>Randomizado,</w:t>
            </w:r>
          </w:p>
          <w:p>
            <w:pPr>
              <w:pStyle w:val="TableParagraph"/>
              <w:spacing w:line="165" w:lineRule="exact"/>
              <w:ind w:left="186"/>
              <w:jc w:val="left"/>
              <w:rPr>
                <w:sz w:val="14"/>
              </w:rPr>
            </w:pPr>
            <w:r>
              <w:rPr>
                <w:sz w:val="14"/>
              </w:rPr>
              <w:t>doble ciego.</w:t>
            </w:r>
          </w:p>
        </w:tc>
        <w:tc>
          <w:tcPr>
            <w:tcW w:w="1148" w:type="dxa"/>
          </w:tcPr>
          <w:p>
            <w:pPr>
              <w:pStyle w:val="TableParagraph"/>
              <w:spacing w:line="165" w:lineRule="exact" w:before="98"/>
              <w:ind w:left="121"/>
              <w:jc w:val="left"/>
              <w:rPr>
                <w:sz w:val="14"/>
              </w:rPr>
            </w:pPr>
            <w:r>
              <w:rPr>
                <w:sz w:val="14"/>
              </w:rPr>
              <w:t>40 pacientes</w:t>
            </w:r>
          </w:p>
          <w:p>
            <w:pPr>
              <w:pStyle w:val="TableParagraph"/>
              <w:spacing w:line="160" w:lineRule="exact"/>
              <w:ind w:left="173"/>
              <w:jc w:val="left"/>
              <w:rPr>
                <w:sz w:val="14"/>
              </w:rPr>
            </w:pPr>
            <w:r>
              <w:rPr>
                <w:sz w:val="14"/>
              </w:rPr>
              <w:t>ASA</w:t>
            </w:r>
            <w:r>
              <w:rPr>
                <w:spacing w:val="-3"/>
                <w:sz w:val="14"/>
              </w:rPr>
              <w:t> </w:t>
            </w:r>
            <w:r>
              <w:rPr>
                <w:sz w:val="14"/>
              </w:rPr>
              <w:t>I,II,III</w:t>
            </w:r>
          </w:p>
          <w:p>
            <w:pPr>
              <w:pStyle w:val="TableParagraph"/>
              <w:spacing w:line="160" w:lineRule="exact"/>
              <w:ind w:left="153"/>
              <w:jc w:val="left"/>
              <w:rPr>
                <w:sz w:val="14"/>
              </w:rPr>
            </w:pPr>
            <w:r>
              <w:rPr>
                <w:sz w:val="14"/>
              </w:rPr>
              <w:t>Edad</w:t>
            </w:r>
            <w:r>
              <w:rPr>
                <w:spacing w:val="-4"/>
                <w:sz w:val="14"/>
              </w:rPr>
              <w:t> </w:t>
            </w:r>
            <w:r>
              <w:rPr>
                <w:sz w:val="14"/>
              </w:rPr>
              <w:t>69±6.</w:t>
            </w:r>
          </w:p>
          <w:p>
            <w:pPr>
              <w:pStyle w:val="TableParagraph"/>
              <w:spacing w:line="165" w:lineRule="exact"/>
              <w:ind w:left="121"/>
              <w:jc w:val="left"/>
              <w:rPr>
                <w:sz w:val="14"/>
              </w:rPr>
            </w:pPr>
            <w:r>
              <w:rPr>
                <w:sz w:val="14"/>
              </w:rPr>
              <w:t>Peso</w:t>
            </w:r>
            <w:r>
              <w:rPr>
                <w:spacing w:val="-4"/>
                <w:sz w:val="14"/>
              </w:rPr>
              <w:t> </w:t>
            </w:r>
            <w:r>
              <w:rPr>
                <w:sz w:val="14"/>
              </w:rPr>
              <w:t>71±10.</w:t>
            </w:r>
          </w:p>
        </w:tc>
        <w:tc>
          <w:tcPr>
            <w:tcW w:w="1205" w:type="dxa"/>
          </w:tcPr>
          <w:p>
            <w:pPr>
              <w:pStyle w:val="TableParagraph"/>
              <w:spacing w:line="225" w:lineRule="auto" w:before="106"/>
              <w:ind w:left="181" w:right="185" w:firstLine="39"/>
              <w:jc w:val="both"/>
              <w:rPr>
                <w:sz w:val="14"/>
              </w:rPr>
            </w:pPr>
            <w:r>
              <w:rPr>
                <w:spacing w:val="-3"/>
                <w:sz w:val="14"/>
              </w:rPr>
              <w:t>0.05 ml/kg </w:t>
            </w:r>
            <w:r>
              <w:rPr>
                <w:sz w:val="14"/>
              </w:rPr>
              <w:t>ev </w:t>
            </w:r>
            <w:r>
              <w:rPr>
                <w:spacing w:val="-3"/>
                <w:sz w:val="14"/>
              </w:rPr>
              <w:t>luego de </w:t>
            </w:r>
            <w:r>
              <w:rPr>
                <w:sz w:val="14"/>
              </w:rPr>
              <w:t>la </w:t>
            </w:r>
            <w:r>
              <w:rPr>
                <w:spacing w:val="-3"/>
                <w:sz w:val="14"/>
              </w:rPr>
              <w:t>inducción seguida de </w:t>
            </w:r>
            <w:r>
              <w:rPr>
                <w:sz w:val="14"/>
              </w:rPr>
              <w:t>una </w:t>
            </w:r>
            <w:r>
              <w:rPr>
                <w:spacing w:val="-5"/>
                <w:sz w:val="14"/>
              </w:rPr>
              <w:t>infusión</w:t>
            </w:r>
          </w:p>
          <w:p>
            <w:pPr>
              <w:pStyle w:val="TableParagraph"/>
              <w:spacing w:line="157" w:lineRule="exact"/>
              <w:ind w:left="90"/>
              <w:jc w:val="both"/>
              <w:rPr>
                <w:sz w:val="14"/>
              </w:rPr>
            </w:pPr>
            <w:r>
              <w:rPr>
                <w:sz w:val="14"/>
              </w:rPr>
              <w:t>de 3ug/kg/min</w:t>
            </w:r>
          </w:p>
          <w:p>
            <w:pPr>
              <w:pStyle w:val="TableParagraph"/>
              <w:spacing w:line="165" w:lineRule="exact"/>
              <w:ind w:left="133"/>
              <w:jc w:val="both"/>
              <w:rPr>
                <w:sz w:val="14"/>
              </w:rPr>
            </w:pPr>
            <w:r>
              <w:rPr>
                <w:sz w:val="14"/>
              </w:rPr>
              <w:t>por 48 hrs**.</w:t>
            </w:r>
          </w:p>
        </w:tc>
        <w:tc>
          <w:tcPr>
            <w:tcW w:w="1177" w:type="dxa"/>
          </w:tcPr>
          <w:p>
            <w:pPr>
              <w:pStyle w:val="TableParagraph"/>
              <w:spacing w:line="225" w:lineRule="auto" w:before="106"/>
              <w:ind w:left="150" w:right="122"/>
              <w:rPr>
                <w:sz w:val="14"/>
              </w:rPr>
            </w:pPr>
            <w:r>
              <w:rPr>
                <w:sz w:val="14"/>
              </w:rPr>
              <w:t>Solución salina 0,9% en igual volumen.</w:t>
            </w:r>
          </w:p>
        </w:tc>
        <w:tc>
          <w:tcPr>
            <w:tcW w:w="1262" w:type="dxa"/>
          </w:tcPr>
          <w:p>
            <w:pPr>
              <w:pStyle w:val="TableParagraph"/>
              <w:spacing w:line="225" w:lineRule="auto" w:before="106"/>
              <w:ind w:left="52" w:right="35"/>
              <w:rPr>
                <w:sz w:val="14"/>
              </w:rPr>
            </w:pPr>
            <w:r>
              <w:rPr>
                <w:spacing w:val="-7"/>
                <w:sz w:val="14"/>
              </w:rPr>
              <w:t>Requerimientos </w:t>
            </w:r>
            <w:r>
              <w:rPr>
                <w:spacing w:val="-3"/>
                <w:sz w:val="14"/>
              </w:rPr>
              <w:t>de </w:t>
            </w:r>
            <w:r>
              <w:rPr>
                <w:spacing w:val="-6"/>
                <w:sz w:val="14"/>
              </w:rPr>
              <w:t>morfina similares en </w:t>
            </w:r>
            <w:r>
              <w:rPr>
                <w:spacing w:val="-5"/>
                <w:sz w:val="14"/>
              </w:rPr>
              <w:t>ambos </w:t>
            </w:r>
            <w:r>
              <w:rPr>
                <w:spacing w:val="-6"/>
                <w:sz w:val="14"/>
              </w:rPr>
              <w:t>grupos durante </w:t>
            </w:r>
            <w:r>
              <w:rPr>
                <w:spacing w:val="-3"/>
                <w:sz w:val="14"/>
              </w:rPr>
              <w:t>la</w:t>
            </w:r>
            <w:r>
              <w:rPr>
                <w:spacing w:val="-16"/>
                <w:sz w:val="14"/>
              </w:rPr>
              <w:t> </w:t>
            </w:r>
            <w:r>
              <w:rPr>
                <w:spacing w:val="-6"/>
                <w:sz w:val="14"/>
              </w:rPr>
              <w:t>estadía </w:t>
            </w:r>
            <w:r>
              <w:rPr>
                <w:spacing w:val="-3"/>
                <w:sz w:val="14"/>
              </w:rPr>
              <w:t>en la </w:t>
            </w:r>
            <w:r>
              <w:rPr>
                <w:spacing w:val="-5"/>
                <w:sz w:val="14"/>
              </w:rPr>
              <w:t>sala </w:t>
            </w:r>
            <w:r>
              <w:rPr>
                <w:spacing w:val="-6"/>
                <w:sz w:val="14"/>
              </w:rPr>
              <w:t>de </w:t>
            </w:r>
            <w:r>
              <w:rPr>
                <w:spacing w:val="-7"/>
                <w:sz w:val="14"/>
              </w:rPr>
              <w:t>recuperación </w:t>
            </w:r>
            <w:r>
              <w:rPr>
                <w:spacing w:val="-6"/>
                <w:sz w:val="14"/>
              </w:rPr>
              <w:t>(P=0,26)</w:t>
            </w:r>
          </w:p>
          <w:p>
            <w:pPr>
              <w:pStyle w:val="TableParagraph"/>
              <w:spacing w:line="225" w:lineRule="auto" w:before="1"/>
              <w:ind w:left="41" w:right="24"/>
              <w:rPr>
                <w:sz w:val="14"/>
              </w:rPr>
            </w:pPr>
            <w:r>
              <w:rPr>
                <w:spacing w:val="-6"/>
                <w:sz w:val="14"/>
              </w:rPr>
              <w:t>Consumo acumulado de </w:t>
            </w:r>
            <w:r>
              <w:rPr>
                <w:spacing w:val="-5"/>
                <w:sz w:val="14"/>
              </w:rPr>
              <w:t>morfina </w:t>
            </w:r>
            <w:r>
              <w:rPr>
                <w:spacing w:val="-7"/>
                <w:sz w:val="14"/>
              </w:rPr>
              <w:t>durante </w:t>
            </w:r>
            <w:r>
              <w:rPr>
                <w:spacing w:val="-4"/>
                <w:sz w:val="14"/>
              </w:rPr>
              <w:t>las </w:t>
            </w:r>
            <w:r>
              <w:rPr>
                <w:spacing w:val="-3"/>
                <w:sz w:val="14"/>
              </w:rPr>
              <w:t>48 </w:t>
            </w:r>
            <w:r>
              <w:rPr>
                <w:spacing w:val="-4"/>
                <w:sz w:val="14"/>
              </w:rPr>
              <w:t>hrs</w:t>
            </w:r>
            <w:r>
              <w:rPr>
                <w:spacing w:val="-29"/>
                <w:sz w:val="14"/>
              </w:rPr>
              <w:t> </w:t>
            </w:r>
            <w:r>
              <w:rPr>
                <w:spacing w:val="-6"/>
                <w:sz w:val="14"/>
              </w:rPr>
              <w:t>iniciales mayor </w:t>
            </w:r>
            <w:r>
              <w:rPr>
                <w:spacing w:val="-3"/>
                <w:sz w:val="14"/>
              </w:rPr>
              <w:t>en </w:t>
            </w:r>
            <w:r>
              <w:rPr>
                <w:spacing w:val="-6"/>
                <w:sz w:val="14"/>
              </w:rPr>
              <w:t>grupo control </w:t>
            </w:r>
            <w:r>
              <w:rPr>
                <w:spacing w:val="-3"/>
                <w:sz w:val="14"/>
              </w:rPr>
              <w:t>(P </w:t>
            </w:r>
            <w:r>
              <w:rPr>
                <w:sz w:val="14"/>
              </w:rPr>
              <w:t>&lt; </w:t>
            </w:r>
            <w:r>
              <w:rPr>
                <w:spacing w:val="-6"/>
                <w:sz w:val="14"/>
              </w:rPr>
              <w:t>0,02).</w:t>
            </w:r>
          </w:p>
          <w:p>
            <w:pPr>
              <w:pStyle w:val="TableParagraph"/>
              <w:spacing w:line="225" w:lineRule="auto" w:before="1"/>
              <w:ind w:left="75" w:right="51" w:hanging="7"/>
              <w:rPr>
                <w:sz w:val="14"/>
              </w:rPr>
            </w:pPr>
            <w:r>
              <w:rPr>
                <w:spacing w:val="-3"/>
                <w:sz w:val="14"/>
              </w:rPr>
              <w:t>El </w:t>
            </w:r>
            <w:r>
              <w:rPr>
                <w:spacing w:val="-6"/>
                <w:sz w:val="14"/>
              </w:rPr>
              <w:t>tiempo transcurrido para </w:t>
            </w:r>
            <w:r>
              <w:rPr>
                <w:spacing w:val="-3"/>
                <w:sz w:val="14"/>
              </w:rPr>
              <w:t>la </w:t>
            </w:r>
            <w:r>
              <w:rPr>
                <w:spacing w:val="-7"/>
                <w:sz w:val="14"/>
              </w:rPr>
              <w:t>recuperación </w:t>
            </w:r>
            <w:r>
              <w:rPr>
                <w:spacing w:val="-3"/>
                <w:sz w:val="14"/>
              </w:rPr>
              <w:t>de la </w:t>
            </w:r>
            <w:r>
              <w:rPr>
                <w:spacing w:val="-5"/>
                <w:sz w:val="14"/>
              </w:rPr>
              <w:t>flexión </w:t>
            </w:r>
            <w:r>
              <w:rPr>
                <w:spacing w:val="-6"/>
                <w:sz w:val="14"/>
              </w:rPr>
              <w:t>de </w:t>
            </w:r>
            <w:r>
              <w:rPr>
                <w:spacing w:val="-3"/>
                <w:sz w:val="14"/>
              </w:rPr>
              <w:t>la </w:t>
            </w:r>
            <w:r>
              <w:rPr>
                <w:spacing w:val="-6"/>
                <w:sz w:val="14"/>
              </w:rPr>
              <w:t>rodilla </w:t>
            </w:r>
            <w:r>
              <w:rPr>
                <w:sz w:val="14"/>
              </w:rPr>
              <w:t>a </w:t>
            </w:r>
            <w:r>
              <w:rPr>
                <w:spacing w:val="-6"/>
                <w:sz w:val="14"/>
              </w:rPr>
              <w:t>90º </w:t>
            </w:r>
            <w:r>
              <w:rPr>
                <w:spacing w:val="-4"/>
                <w:sz w:val="14"/>
              </w:rPr>
              <w:t>fue </w:t>
            </w:r>
            <w:r>
              <w:rPr>
                <w:spacing w:val="-6"/>
                <w:sz w:val="14"/>
              </w:rPr>
              <w:t>inferior para </w:t>
            </w:r>
            <w:r>
              <w:rPr>
                <w:spacing w:val="-3"/>
                <w:sz w:val="14"/>
              </w:rPr>
              <w:t>el </w:t>
            </w:r>
            <w:r>
              <w:rPr>
                <w:spacing w:val="-5"/>
                <w:sz w:val="14"/>
              </w:rPr>
              <w:t>grupo </w:t>
            </w:r>
            <w:r>
              <w:rPr>
                <w:spacing w:val="-3"/>
                <w:sz w:val="14"/>
              </w:rPr>
              <w:t>de </w:t>
            </w:r>
            <w:r>
              <w:rPr>
                <w:spacing w:val="-10"/>
                <w:sz w:val="14"/>
              </w:rPr>
              <w:t>KET. </w:t>
            </w:r>
            <w:r>
              <w:rPr>
                <w:spacing w:val="-6"/>
                <w:sz w:val="14"/>
              </w:rPr>
              <w:t>(p&lt;0,03).</w:t>
            </w:r>
          </w:p>
        </w:tc>
        <w:tc>
          <w:tcPr>
            <w:tcW w:w="1181" w:type="dxa"/>
          </w:tcPr>
          <w:p>
            <w:pPr>
              <w:pStyle w:val="TableParagraph"/>
              <w:spacing w:line="165" w:lineRule="exact" w:before="98"/>
              <w:ind w:left="7" w:right="13"/>
              <w:rPr>
                <w:sz w:val="14"/>
              </w:rPr>
            </w:pPr>
            <w:r>
              <w:rPr>
                <w:sz w:val="14"/>
              </w:rPr>
              <w:t>NVPO</w:t>
            </w:r>
          </w:p>
          <w:p>
            <w:pPr>
              <w:pStyle w:val="TableParagraph"/>
              <w:spacing w:line="225" w:lineRule="auto" w:before="4"/>
              <w:ind w:left="83" w:right="89" w:hanging="1"/>
              <w:rPr>
                <w:sz w:val="14"/>
              </w:rPr>
            </w:pPr>
            <w:r>
              <w:rPr>
                <w:sz w:val="14"/>
              </w:rPr>
              <w:t>similares en ambos grupos No se reportaron casos de sedación, alucinaciones, pesadillas, o diplopía.</w:t>
            </w:r>
          </w:p>
        </w:tc>
      </w:tr>
      <w:tr>
        <w:trPr>
          <w:trHeight w:val="3419" w:hRule="atLeast"/>
        </w:trPr>
        <w:tc>
          <w:tcPr>
            <w:tcW w:w="1262" w:type="dxa"/>
          </w:tcPr>
          <w:p>
            <w:pPr>
              <w:pStyle w:val="TableParagraph"/>
              <w:spacing w:line="165" w:lineRule="exact" w:before="113"/>
              <w:ind w:left="82" w:right="82"/>
              <w:rPr>
                <w:sz w:val="14"/>
              </w:rPr>
            </w:pPr>
            <w:r>
              <w:rPr>
                <w:sz w:val="14"/>
              </w:rPr>
              <w:t>Menigaux C,</w:t>
            </w:r>
          </w:p>
          <w:p>
            <w:pPr>
              <w:pStyle w:val="TableParagraph"/>
              <w:spacing w:line="160" w:lineRule="exact"/>
              <w:ind w:left="82" w:right="82"/>
              <w:rPr>
                <w:sz w:val="14"/>
              </w:rPr>
            </w:pPr>
            <w:r>
              <w:rPr>
                <w:sz w:val="14"/>
              </w:rPr>
              <w:t>et al 2000</w:t>
            </w:r>
          </w:p>
          <w:p>
            <w:pPr>
              <w:pStyle w:val="TableParagraph"/>
              <w:spacing w:line="165" w:lineRule="exact"/>
              <w:ind w:left="81" w:right="82"/>
              <w:rPr>
                <w:sz w:val="14"/>
              </w:rPr>
            </w:pPr>
            <w:r>
              <w:rPr>
                <w:sz w:val="14"/>
              </w:rPr>
              <w:t>(20)</w:t>
            </w:r>
          </w:p>
        </w:tc>
        <w:tc>
          <w:tcPr>
            <w:tcW w:w="1205" w:type="dxa"/>
          </w:tcPr>
          <w:p>
            <w:pPr>
              <w:pStyle w:val="TableParagraph"/>
              <w:spacing w:line="225" w:lineRule="auto" w:before="106"/>
              <w:ind w:left="119" w:right="120" w:firstLine="1"/>
              <w:rPr>
                <w:sz w:val="14"/>
              </w:rPr>
            </w:pPr>
            <w:r>
              <w:rPr>
                <w:sz w:val="14"/>
              </w:rPr>
              <w:t>Reparación del ligamento cruzado anterior.</w:t>
            </w:r>
          </w:p>
        </w:tc>
        <w:tc>
          <w:tcPr>
            <w:tcW w:w="1190" w:type="dxa"/>
          </w:tcPr>
          <w:p>
            <w:pPr>
              <w:pStyle w:val="TableParagraph"/>
              <w:spacing w:line="165" w:lineRule="exact" w:before="98"/>
              <w:ind w:left="113"/>
              <w:jc w:val="left"/>
              <w:rPr>
                <w:sz w:val="14"/>
              </w:rPr>
            </w:pPr>
            <w:r>
              <w:rPr>
                <w:sz w:val="14"/>
              </w:rPr>
              <w:t>Randomizado,</w:t>
            </w:r>
          </w:p>
          <w:p>
            <w:pPr>
              <w:pStyle w:val="TableParagraph"/>
              <w:spacing w:line="165" w:lineRule="exact"/>
              <w:ind w:left="186"/>
              <w:jc w:val="left"/>
              <w:rPr>
                <w:sz w:val="14"/>
              </w:rPr>
            </w:pPr>
            <w:r>
              <w:rPr>
                <w:sz w:val="14"/>
              </w:rPr>
              <w:t>doble ciego.</w:t>
            </w:r>
          </w:p>
        </w:tc>
        <w:tc>
          <w:tcPr>
            <w:tcW w:w="1148" w:type="dxa"/>
          </w:tcPr>
          <w:p>
            <w:pPr>
              <w:pStyle w:val="TableParagraph"/>
              <w:spacing w:line="225" w:lineRule="auto" w:before="107"/>
              <w:ind w:left="121" w:right="120"/>
              <w:rPr>
                <w:sz w:val="14"/>
              </w:rPr>
            </w:pPr>
            <w:r>
              <w:rPr>
                <w:sz w:val="14"/>
              </w:rPr>
              <w:t>45</w:t>
            </w:r>
            <w:r>
              <w:rPr>
                <w:spacing w:val="-14"/>
                <w:sz w:val="14"/>
              </w:rPr>
              <w:t> </w:t>
            </w:r>
            <w:r>
              <w:rPr>
                <w:sz w:val="14"/>
              </w:rPr>
              <w:t>pacientes ASA I,II Edad</w:t>
            </w:r>
            <w:r>
              <w:rPr>
                <w:spacing w:val="-4"/>
                <w:sz w:val="14"/>
              </w:rPr>
              <w:t> </w:t>
            </w:r>
            <w:r>
              <w:rPr>
                <w:sz w:val="14"/>
              </w:rPr>
              <w:t>18-65.</w:t>
            </w:r>
          </w:p>
          <w:p>
            <w:pPr>
              <w:pStyle w:val="TableParagraph"/>
              <w:spacing w:line="162" w:lineRule="exact"/>
              <w:ind w:left="81" w:right="81"/>
              <w:rPr>
                <w:sz w:val="14"/>
              </w:rPr>
            </w:pPr>
            <w:r>
              <w:rPr>
                <w:sz w:val="14"/>
              </w:rPr>
              <w:t>Peso</w:t>
            </w:r>
            <w:r>
              <w:rPr>
                <w:spacing w:val="-4"/>
                <w:sz w:val="14"/>
              </w:rPr>
              <w:t> </w:t>
            </w:r>
            <w:r>
              <w:rPr>
                <w:sz w:val="14"/>
              </w:rPr>
              <w:t>72±10.</w:t>
            </w:r>
          </w:p>
        </w:tc>
        <w:tc>
          <w:tcPr>
            <w:tcW w:w="1205" w:type="dxa"/>
          </w:tcPr>
          <w:p>
            <w:pPr>
              <w:pStyle w:val="TableParagraph"/>
              <w:numPr>
                <w:ilvl w:val="0"/>
                <w:numId w:val="3"/>
              </w:numPr>
              <w:tabs>
                <w:tab w:pos="234" w:val="left" w:leader="none"/>
              </w:tabs>
              <w:spacing w:line="165" w:lineRule="exact" w:before="98" w:after="0"/>
              <w:ind w:left="233" w:right="0" w:hanging="225"/>
              <w:jc w:val="left"/>
              <w:rPr>
                <w:sz w:val="14"/>
              </w:rPr>
            </w:pPr>
            <w:r>
              <w:rPr>
                <w:spacing w:val="-4"/>
                <w:sz w:val="14"/>
              </w:rPr>
              <w:t>KET</w:t>
            </w:r>
            <w:r>
              <w:rPr>
                <w:spacing w:val="-9"/>
                <w:sz w:val="14"/>
              </w:rPr>
              <w:t> </w:t>
            </w:r>
            <w:r>
              <w:rPr>
                <w:spacing w:val="-5"/>
                <w:sz w:val="14"/>
              </w:rPr>
              <w:t>0,15mg/</w:t>
            </w:r>
          </w:p>
          <w:p>
            <w:pPr>
              <w:pStyle w:val="TableParagraph"/>
              <w:spacing w:line="225" w:lineRule="auto" w:before="3"/>
              <w:ind w:left="165" w:right="154"/>
              <w:rPr>
                <w:sz w:val="14"/>
              </w:rPr>
            </w:pPr>
            <w:r>
              <w:rPr>
                <w:spacing w:val="-3"/>
                <w:sz w:val="14"/>
              </w:rPr>
              <w:t>kg EV 10</w:t>
            </w:r>
            <w:r>
              <w:rPr>
                <w:spacing w:val="-17"/>
                <w:sz w:val="14"/>
              </w:rPr>
              <w:t> </w:t>
            </w:r>
            <w:r>
              <w:rPr>
                <w:spacing w:val="-9"/>
                <w:sz w:val="14"/>
              </w:rPr>
              <w:t>min </w:t>
            </w:r>
            <w:r>
              <w:rPr>
                <w:spacing w:val="-5"/>
                <w:sz w:val="14"/>
              </w:rPr>
              <w:t>después de </w:t>
            </w:r>
            <w:r>
              <w:rPr>
                <w:spacing w:val="-3"/>
                <w:sz w:val="14"/>
              </w:rPr>
              <w:t>la </w:t>
            </w:r>
            <w:r>
              <w:rPr>
                <w:spacing w:val="-5"/>
                <w:sz w:val="14"/>
              </w:rPr>
              <w:t>inducción </w:t>
            </w:r>
            <w:r>
              <w:rPr>
                <w:sz w:val="14"/>
              </w:rPr>
              <w:t>y </w:t>
            </w:r>
            <w:r>
              <w:rPr>
                <w:spacing w:val="-5"/>
                <w:sz w:val="14"/>
              </w:rPr>
              <w:t>previo</w:t>
            </w:r>
            <w:r>
              <w:rPr>
                <w:spacing w:val="-16"/>
                <w:sz w:val="14"/>
              </w:rPr>
              <w:t> </w:t>
            </w:r>
            <w:r>
              <w:rPr>
                <w:spacing w:val="-3"/>
                <w:sz w:val="14"/>
              </w:rPr>
              <w:t>al</w:t>
            </w:r>
          </w:p>
          <w:p>
            <w:pPr>
              <w:pStyle w:val="TableParagraph"/>
              <w:spacing w:line="225" w:lineRule="auto" w:before="1"/>
              <w:ind w:left="182" w:right="109" w:hanging="62"/>
              <w:jc w:val="left"/>
              <w:rPr>
                <w:sz w:val="14"/>
              </w:rPr>
            </w:pPr>
            <w:r>
              <w:rPr>
                <w:spacing w:val="-5"/>
                <w:sz w:val="14"/>
              </w:rPr>
              <w:t>torniquete+10 </w:t>
            </w:r>
            <w:r>
              <w:rPr>
                <w:spacing w:val="-3"/>
                <w:sz w:val="14"/>
              </w:rPr>
              <w:t>ml </w:t>
            </w:r>
            <w:r>
              <w:rPr>
                <w:spacing w:val="-5"/>
                <w:sz w:val="14"/>
              </w:rPr>
              <w:t>solución salina 0,9% </w:t>
            </w:r>
            <w:r>
              <w:rPr>
                <w:spacing w:val="-3"/>
                <w:sz w:val="14"/>
              </w:rPr>
              <w:t>al </w:t>
            </w:r>
            <w:r>
              <w:rPr>
                <w:spacing w:val="-4"/>
                <w:sz w:val="14"/>
              </w:rPr>
              <w:t>finalizar</w:t>
            </w:r>
            <w:r>
              <w:rPr>
                <w:spacing w:val="-15"/>
                <w:sz w:val="14"/>
              </w:rPr>
              <w:t> </w:t>
            </w:r>
            <w:r>
              <w:rPr>
                <w:spacing w:val="-5"/>
                <w:sz w:val="14"/>
              </w:rPr>
              <w:t>al</w:t>
            </w:r>
          </w:p>
          <w:p>
            <w:pPr>
              <w:pStyle w:val="TableParagraph"/>
              <w:spacing w:line="157" w:lineRule="exact"/>
              <w:ind w:left="382"/>
              <w:jc w:val="left"/>
              <w:rPr>
                <w:sz w:val="14"/>
              </w:rPr>
            </w:pPr>
            <w:r>
              <w:rPr>
                <w:sz w:val="14"/>
              </w:rPr>
              <w:t>cirugía</w:t>
            </w:r>
          </w:p>
          <w:p>
            <w:pPr>
              <w:pStyle w:val="TableParagraph"/>
              <w:numPr>
                <w:ilvl w:val="0"/>
                <w:numId w:val="3"/>
              </w:numPr>
              <w:tabs>
                <w:tab w:pos="501" w:val="left" w:leader="none"/>
              </w:tabs>
              <w:spacing w:line="225" w:lineRule="auto" w:before="3" w:after="0"/>
              <w:ind w:left="120" w:right="109" w:firstLine="202"/>
              <w:jc w:val="left"/>
              <w:rPr>
                <w:sz w:val="14"/>
              </w:rPr>
            </w:pPr>
            <w:r>
              <w:rPr>
                <w:spacing w:val="-3"/>
                <w:sz w:val="14"/>
              </w:rPr>
              <w:t>10 </w:t>
            </w:r>
            <w:r>
              <w:rPr>
                <w:spacing w:val="-5"/>
                <w:sz w:val="14"/>
              </w:rPr>
              <w:t>ml solución salina </w:t>
            </w:r>
            <w:r>
              <w:rPr>
                <w:spacing w:val="-4"/>
                <w:sz w:val="14"/>
              </w:rPr>
              <w:t>0,9% </w:t>
            </w:r>
            <w:r>
              <w:rPr>
                <w:spacing w:val="-3"/>
                <w:sz w:val="14"/>
              </w:rPr>
              <w:t>10</w:t>
            </w:r>
            <w:r>
              <w:rPr>
                <w:spacing w:val="-14"/>
                <w:sz w:val="14"/>
              </w:rPr>
              <w:t> </w:t>
            </w:r>
            <w:r>
              <w:rPr>
                <w:spacing w:val="-5"/>
                <w:sz w:val="14"/>
              </w:rPr>
              <w:t>min</w:t>
            </w:r>
          </w:p>
          <w:p>
            <w:pPr>
              <w:pStyle w:val="TableParagraph"/>
              <w:spacing w:line="225" w:lineRule="auto"/>
              <w:ind w:left="183" w:right="167" w:firstLine="42"/>
              <w:jc w:val="both"/>
              <w:rPr>
                <w:sz w:val="14"/>
              </w:rPr>
            </w:pPr>
            <w:r>
              <w:rPr>
                <w:spacing w:val="-5"/>
                <w:sz w:val="14"/>
              </w:rPr>
              <w:t>después de </w:t>
            </w:r>
            <w:r>
              <w:rPr>
                <w:spacing w:val="-3"/>
                <w:sz w:val="14"/>
              </w:rPr>
              <w:t>la </w:t>
            </w:r>
            <w:r>
              <w:rPr>
                <w:spacing w:val="-5"/>
                <w:sz w:val="14"/>
              </w:rPr>
              <w:t>inducción </w:t>
            </w:r>
            <w:r>
              <w:rPr>
                <w:sz w:val="14"/>
              </w:rPr>
              <w:t>y </w:t>
            </w:r>
            <w:r>
              <w:rPr>
                <w:spacing w:val="-5"/>
                <w:sz w:val="14"/>
              </w:rPr>
              <w:t>previo </w:t>
            </w:r>
            <w:r>
              <w:rPr>
                <w:spacing w:val="-3"/>
                <w:sz w:val="14"/>
              </w:rPr>
              <w:t>al </w:t>
            </w:r>
            <w:r>
              <w:rPr>
                <w:spacing w:val="-5"/>
                <w:sz w:val="14"/>
              </w:rPr>
              <w:t>torniquete </w:t>
            </w:r>
            <w:r>
              <w:rPr>
                <w:sz w:val="14"/>
              </w:rPr>
              <w:t>+</w:t>
            </w:r>
          </w:p>
          <w:p>
            <w:pPr>
              <w:pStyle w:val="TableParagraph"/>
              <w:spacing w:line="225" w:lineRule="auto" w:before="1"/>
              <w:ind w:left="17" w:right="6"/>
              <w:rPr>
                <w:sz w:val="14"/>
              </w:rPr>
            </w:pPr>
            <w:r>
              <w:rPr>
                <w:sz w:val="14"/>
              </w:rPr>
              <w:t>KET 0,15mg/kg EV al finalizar la cirugía.</w:t>
            </w:r>
          </w:p>
        </w:tc>
        <w:tc>
          <w:tcPr>
            <w:tcW w:w="1177" w:type="dxa"/>
          </w:tcPr>
          <w:p>
            <w:pPr>
              <w:pStyle w:val="TableParagraph"/>
              <w:spacing w:line="225" w:lineRule="auto" w:before="107"/>
              <w:ind w:left="150" w:right="122"/>
              <w:rPr>
                <w:sz w:val="14"/>
              </w:rPr>
            </w:pPr>
            <w:r>
              <w:rPr>
                <w:sz w:val="14"/>
              </w:rPr>
              <w:t>Ambas inyecciones con solución salina 0,9%.</w:t>
            </w:r>
          </w:p>
        </w:tc>
        <w:tc>
          <w:tcPr>
            <w:tcW w:w="1262" w:type="dxa"/>
          </w:tcPr>
          <w:p>
            <w:pPr>
              <w:pStyle w:val="TableParagraph"/>
              <w:spacing w:line="225" w:lineRule="auto" w:before="107"/>
              <w:ind w:left="36" w:right="18" w:hanging="1"/>
              <w:rPr>
                <w:sz w:val="14"/>
              </w:rPr>
            </w:pPr>
            <w:r>
              <w:rPr>
                <w:spacing w:val="-3"/>
                <w:sz w:val="14"/>
              </w:rPr>
              <w:t>La </w:t>
            </w:r>
            <w:r>
              <w:rPr>
                <w:spacing w:val="-6"/>
                <w:sz w:val="14"/>
              </w:rPr>
              <w:t>dosis acumulada de </w:t>
            </w:r>
            <w:r>
              <w:rPr>
                <w:spacing w:val="-5"/>
                <w:sz w:val="14"/>
              </w:rPr>
              <w:t>morfina </w:t>
            </w:r>
            <w:r>
              <w:rPr>
                <w:sz w:val="14"/>
              </w:rPr>
              <w:t>a </w:t>
            </w:r>
            <w:r>
              <w:rPr>
                <w:spacing w:val="-4"/>
                <w:sz w:val="14"/>
              </w:rPr>
              <w:t>las </w:t>
            </w:r>
            <w:r>
              <w:rPr>
                <w:spacing w:val="-3"/>
                <w:sz w:val="14"/>
              </w:rPr>
              <w:t>24</w:t>
            </w:r>
            <w:r>
              <w:rPr>
                <w:spacing w:val="-35"/>
                <w:sz w:val="14"/>
              </w:rPr>
              <w:t> </w:t>
            </w:r>
            <w:r>
              <w:rPr>
                <w:sz w:val="14"/>
              </w:rPr>
              <w:t>y </w:t>
            </w:r>
            <w:r>
              <w:rPr>
                <w:spacing w:val="-3"/>
                <w:sz w:val="14"/>
              </w:rPr>
              <w:t>48 </w:t>
            </w:r>
            <w:r>
              <w:rPr>
                <w:spacing w:val="-4"/>
                <w:sz w:val="14"/>
              </w:rPr>
              <w:t>hrs fue </w:t>
            </w:r>
            <w:r>
              <w:rPr>
                <w:spacing w:val="-7"/>
                <w:sz w:val="14"/>
              </w:rPr>
              <w:t>mayor </w:t>
            </w:r>
            <w:r>
              <w:rPr>
                <w:spacing w:val="-3"/>
                <w:sz w:val="14"/>
              </w:rPr>
              <w:t>en el </w:t>
            </w:r>
            <w:r>
              <w:rPr>
                <w:spacing w:val="-6"/>
                <w:sz w:val="14"/>
              </w:rPr>
              <w:t>grupo control </w:t>
            </w:r>
            <w:r>
              <w:rPr>
                <w:spacing w:val="-3"/>
                <w:sz w:val="14"/>
              </w:rPr>
              <w:t>en</w:t>
            </w:r>
            <w:r>
              <w:rPr>
                <w:spacing w:val="-17"/>
                <w:sz w:val="14"/>
              </w:rPr>
              <w:t> </w:t>
            </w:r>
            <w:r>
              <w:rPr>
                <w:spacing w:val="-6"/>
                <w:sz w:val="14"/>
              </w:rPr>
              <w:t>relación </w:t>
            </w:r>
            <w:r>
              <w:rPr>
                <w:sz w:val="14"/>
              </w:rPr>
              <w:t>a </w:t>
            </w:r>
            <w:r>
              <w:rPr>
                <w:spacing w:val="-4"/>
                <w:sz w:val="14"/>
              </w:rPr>
              <w:t>los </w:t>
            </w:r>
            <w:r>
              <w:rPr>
                <w:spacing w:val="-5"/>
                <w:sz w:val="14"/>
              </w:rPr>
              <w:t>grupos </w:t>
            </w:r>
            <w:r>
              <w:rPr>
                <w:spacing w:val="-6"/>
                <w:sz w:val="14"/>
              </w:rPr>
              <w:t>que recibieron KET (p&lt;0,01)</w:t>
            </w:r>
          </w:p>
          <w:p>
            <w:pPr>
              <w:pStyle w:val="TableParagraph"/>
              <w:spacing w:line="225" w:lineRule="auto" w:before="1"/>
              <w:ind w:left="82" w:right="64"/>
              <w:rPr>
                <w:sz w:val="14"/>
              </w:rPr>
            </w:pPr>
            <w:r>
              <w:rPr>
                <w:spacing w:val="-3"/>
                <w:sz w:val="14"/>
              </w:rPr>
              <w:t>No </w:t>
            </w:r>
            <w:r>
              <w:rPr>
                <w:spacing w:val="-6"/>
                <w:sz w:val="14"/>
              </w:rPr>
              <w:t>hubo diferencias entre </w:t>
            </w:r>
            <w:r>
              <w:rPr>
                <w:spacing w:val="-4"/>
                <w:sz w:val="14"/>
              </w:rPr>
              <w:t>los </w:t>
            </w:r>
            <w:r>
              <w:rPr>
                <w:spacing w:val="-5"/>
                <w:sz w:val="14"/>
              </w:rPr>
              <w:t>grupos </w:t>
            </w:r>
            <w:r>
              <w:rPr>
                <w:spacing w:val="-6"/>
                <w:sz w:val="14"/>
              </w:rPr>
              <w:t>que recibieron M+.</w:t>
            </w:r>
          </w:p>
        </w:tc>
        <w:tc>
          <w:tcPr>
            <w:tcW w:w="1181" w:type="dxa"/>
          </w:tcPr>
          <w:p>
            <w:pPr>
              <w:pStyle w:val="TableParagraph"/>
              <w:spacing w:line="225" w:lineRule="auto" w:before="107"/>
              <w:ind w:left="87" w:right="93" w:hanging="2"/>
              <w:rPr>
                <w:sz w:val="14"/>
              </w:rPr>
            </w:pPr>
            <w:r>
              <w:rPr>
                <w:sz w:val="14"/>
              </w:rPr>
              <w:t>NVPO sin diferencias significativas No se reportaron casos de sedación, disforia, alucinaciones, prurito o diplopía.</w:t>
            </w:r>
          </w:p>
          <w:p>
            <w:pPr>
              <w:pStyle w:val="TableParagraph"/>
              <w:spacing w:line="225" w:lineRule="auto" w:before="1"/>
              <w:ind w:left="152" w:right="159" w:hanging="1"/>
              <w:rPr>
                <w:sz w:val="14"/>
              </w:rPr>
            </w:pPr>
            <w:r>
              <w:rPr>
                <w:sz w:val="14"/>
              </w:rPr>
              <w:t>No se registraron casos de depresión respiratoria.</w:t>
            </w:r>
          </w:p>
        </w:tc>
      </w:tr>
      <w:tr>
        <w:trPr>
          <w:trHeight w:val="2158" w:hRule="atLeast"/>
        </w:trPr>
        <w:tc>
          <w:tcPr>
            <w:tcW w:w="1262" w:type="dxa"/>
          </w:tcPr>
          <w:p>
            <w:pPr>
              <w:pStyle w:val="TableParagraph"/>
              <w:spacing w:line="165" w:lineRule="exact" w:before="113"/>
              <w:ind w:left="82" w:right="81"/>
              <w:rPr>
                <w:sz w:val="14"/>
              </w:rPr>
            </w:pPr>
            <w:r>
              <w:rPr>
                <w:sz w:val="14"/>
              </w:rPr>
              <w:t>Mark Reeves,</w:t>
            </w:r>
          </w:p>
          <w:p>
            <w:pPr>
              <w:pStyle w:val="TableParagraph"/>
              <w:spacing w:line="160" w:lineRule="exact"/>
              <w:ind w:left="82" w:right="81"/>
              <w:rPr>
                <w:sz w:val="14"/>
              </w:rPr>
            </w:pPr>
            <w:r>
              <w:rPr>
                <w:sz w:val="14"/>
              </w:rPr>
              <w:t>et al 2001</w:t>
            </w:r>
          </w:p>
          <w:p>
            <w:pPr>
              <w:pStyle w:val="TableParagraph"/>
              <w:spacing w:line="165" w:lineRule="exact"/>
              <w:ind w:left="82" w:right="82"/>
              <w:rPr>
                <w:sz w:val="14"/>
              </w:rPr>
            </w:pPr>
            <w:r>
              <w:rPr>
                <w:sz w:val="14"/>
              </w:rPr>
              <w:t>(28)</w:t>
            </w:r>
          </w:p>
        </w:tc>
        <w:tc>
          <w:tcPr>
            <w:tcW w:w="1205" w:type="dxa"/>
          </w:tcPr>
          <w:p>
            <w:pPr>
              <w:pStyle w:val="TableParagraph"/>
              <w:spacing w:line="225" w:lineRule="auto" w:before="106"/>
              <w:ind w:left="142" w:right="126" w:hanging="1"/>
              <w:rPr>
                <w:sz w:val="14"/>
              </w:rPr>
            </w:pPr>
            <w:r>
              <w:rPr>
                <w:sz w:val="14"/>
              </w:rPr>
              <w:t>Cirugía abdominal mayor </w:t>
            </w:r>
            <w:r>
              <w:rPr>
                <w:spacing w:val="-3"/>
                <w:sz w:val="14"/>
              </w:rPr>
              <w:t>(hepatobiliar, </w:t>
            </w:r>
            <w:r>
              <w:rPr>
                <w:sz w:val="14"/>
              </w:rPr>
              <w:t>colorrectal, renal).</w:t>
            </w:r>
          </w:p>
        </w:tc>
        <w:tc>
          <w:tcPr>
            <w:tcW w:w="1190" w:type="dxa"/>
          </w:tcPr>
          <w:p>
            <w:pPr>
              <w:pStyle w:val="TableParagraph"/>
              <w:spacing w:line="225" w:lineRule="auto" w:before="106"/>
              <w:ind w:left="93" w:right="19"/>
              <w:rPr>
                <w:sz w:val="14"/>
              </w:rPr>
            </w:pPr>
            <w:r>
              <w:rPr>
                <w:sz w:val="14"/>
              </w:rPr>
              <w:t>Randomizado, doble ciego, controlado.</w:t>
            </w:r>
          </w:p>
        </w:tc>
        <w:tc>
          <w:tcPr>
            <w:tcW w:w="1148" w:type="dxa"/>
          </w:tcPr>
          <w:p>
            <w:pPr>
              <w:pStyle w:val="TableParagraph"/>
              <w:spacing w:line="225" w:lineRule="auto" w:before="106"/>
              <w:ind w:left="81" w:right="49"/>
              <w:rPr>
                <w:sz w:val="14"/>
              </w:rPr>
            </w:pPr>
            <w:r>
              <w:rPr>
                <w:sz w:val="14"/>
              </w:rPr>
              <w:t>71 pacientes ASA I,II,III Edad </w:t>
            </w:r>
            <w:r>
              <w:rPr>
                <w:spacing w:val="-3"/>
                <w:sz w:val="14"/>
              </w:rPr>
              <w:t>50±10.</w:t>
            </w:r>
          </w:p>
          <w:p>
            <w:pPr>
              <w:pStyle w:val="TableParagraph"/>
              <w:spacing w:line="162" w:lineRule="exact"/>
              <w:ind w:left="81" w:right="51"/>
              <w:rPr>
                <w:sz w:val="14"/>
              </w:rPr>
            </w:pPr>
            <w:r>
              <w:rPr>
                <w:sz w:val="14"/>
              </w:rPr>
              <w:t>Peso</w:t>
            </w:r>
            <w:r>
              <w:rPr>
                <w:spacing w:val="-4"/>
                <w:sz w:val="14"/>
              </w:rPr>
              <w:t> </w:t>
            </w:r>
            <w:r>
              <w:rPr>
                <w:sz w:val="14"/>
              </w:rPr>
              <w:t>80±20.</w:t>
            </w:r>
          </w:p>
        </w:tc>
        <w:tc>
          <w:tcPr>
            <w:tcW w:w="1205" w:type="dxa"/>
          </w:tcPr>
          <w:p>
            <w:pPr>
              <w:pStyle w:val="TableParagraph"/>
              <w:spacing w:line="225" w:lineRule="auto" w:before="106"/>
              <w:ind w:left="94" w:right="49" w:hanging="1"/>
              <w:rPr>
                <w:sz w:val="14"/>
              </w:rPr>
            </w:pPr>
            <w:r>
              <w:rPr>
                <w:sz w:val="14"/>
              </w:rPr>
              <w:t>PCA M+ </w:t>
            </w:r>
            <w:r>
              <w:rPr>
                <w:spacing w:val="-3"/>
                <w:sz w:val="14"/>
              </w:rPr>
              <w:t>1mg/ </w:t>
            </w:r>
            <w:r>
              <w:rPr>
                <w:sz w:val="14"/>
              </w:rPr>
              <w:t>ml + KET</w:t>
            </w:r>
            <w:r>
              <w:rPr>
                <w:spacing w:val="-25"/>
                <w:sz w:val="14"/>
              </w:rPr>
              <w:t> </w:t>
            </w:r>
            <w:r>
              <w:rPr>
                <w:spacing w:val="-7"/>
                <w:sz w:val="14"/>
              </w:rPr>
              <w:t>1mg/ </w:t>
            </w:r>
            <w:r>
              <w:rPr>
                <w:spacing w:val="-3"/>
                <w:sz w:val="14"/>
              </w:rPr>
              <w:t>ml.</w:t>
            </w:r>
          </w:p>
        </w:tc>
        <w:tc>
          <w:tcPr>
            <w:tcW w:w="1177" w:type="dxa"/>
          </w:tcPr>
          <w:p>
            <w:pPr>
              <w:pStyle w:val="TableParagraph"/>
              <w:spacing w:line="165" w:lineRule="exact" w:before="98"/>
              <w:ind w:left="70" w:right="12"/>
              <w:rPr>
                <w:sz w:val="14"/>
              </w:rPr>
            </w:pPr>
            <w:r>
              <w:rPr>
                <w:sz w:val="14"/>
              </w:rPr>
              <w:t>PCA M+ 1mg/</w:t>
            </w:r>
          </w:p>
          <w:p>
            <w:pPr>
              <w:pStyle w:val="TableParagraph"/>
              <w:spacing w:line="165" w:lineRule="exact"/>
              <w:ind w:left="150" w:right="92"/>
              <w:rPr>
                <w:sz w:val="14"/>
              </w:rPr>
            </w:pPr>
            <w:r>
              <w:rPr>
                <w:sz w:val="14"/>
              </w:rPr>
              <w:t>ml.</w:t>
            </w:r>
          </w:p>
        </w:tc>
        <w:tc>
          <w:tcPr>
            <w:tcW w:w="1262" w:type="dxa"/>
          </w:tcPr>
          <w:p>
            <w:pPr>
              <w:pStyle w:val="TableParagraph"/>
              <w:spacing w:line="225" w:lineRule="auto" w:before="106"/>
              <w:ind w:left="60" w:right="116"/>
              <w:rPr>
                <w:sz w:val="14"/>
              </w:rPr>
            </w:pPr>
            <w:r>
              <w:rPr>
                <w:sz w:val="14"/>
              </w:rPr>
              <w:t>No se observaron diferencias significativas en los</w:t>
            </w:r>
            <w:r>
              <w:rPr>
                <w:spacing w:val="-11"/>
                <w:sz w:val="14"/>
              </w:rPr>
              <w:t> </w:t>
            </w:r>
            <w:r>
              <w:rPr>
                <w:sz w:val="14"/>
              </w:rPr>
              <w:t>puntajes de dolor a las 24 y 48 hrs (p&lt;0,8).</w:t>
            </w:r>
          </w:p>
        </w:tc>
        <w:tc>
          <w:tcPr>
            <w:tcW w:w="1181" w:type="dxa"/>
          </w:tcPr>
          <w:p>
            <w:pPr>
              <w:pStyle w:val="TableParagraph"/>
              <w:spacing w:line="225" w:lineRule="auto" w:before="107"/>
              <w:ind w:left="146" w:right="121" w:hanging="1"/>
              <w:rPr>
                <w:sz w:val="14"/>
              </w:rPr>
            </w:pPr>
            <w:r>
              <w:rPr>
                <w:sz w:val="14"/>
              </w:rPr>
              <w:t>NVPO sin diferencias significativas (p&lt;0,65)</w:t>
            </w:r>
          </w:p>
          <w:p>
            <w:pPr>
              <w:pStyle w:val="TableParagraph"/>
              <w:spacing w:line="225" w:lineRule="auto"/>
              <w:ind w:left="36" w:right="12"/>
              <w:rPr>
                <w:sz w:val="14"/>
              </w:rPr>
            </w:pPr>
            <w:r>
              <w:rPr>
                <w:sz w:val="14"/>
              </w:rPr>
              <w:t>Sin diferencias en cuanto a calidad del sueño (p&lt;68), sueños vívidos (p&lt;0,71) o</w:t>
            </w:r>
          </w:p>
          <w:p>
            <w:pPr>
              <w:pStyle w:val="TableParagraph"/>
              <w:spacing w:line="157" w:lineRule="exact"/>
              <w:ind w:left="36" w:right="13"/>
              <w:rPr>
                <w:sz w:val="14"/>
              </w:rPr>
            </w:pPr>
            <w:r>
              <w:rPr>
                <w:sz w:val="14"/>
              </w:rPr>
              <w:t>alucinaciones</w:t>
            </w:r>
          </w:p>
          <w:p>
            <w:pPr>
              <w:pStyle w:val="TableParagraph"/>
              <w:spacing w:line="165" w:lineRule="exact"/>
              <w:ind w:left="34" w:right="13"/>
              <w:rPr>
                <w:sz w:val="14"/>
              </w:rPr>
            </w:pPr>
            <w:r>
              <w:rPr>
                <w:sz w:val="14"/>
              </w:rPr>
              <w:t>(p&lt;0,73).</w:t>
            </w:r>
          </w:p>
        </w:tc>
      </w:tr>
      <w:tr>
        <w:trPr>
          <w:trHeight w:val="1439" w:hRule="atLeast"/>
        </w:trPr>
        <w:tc>
          <w:tcPr>
            <w:tcW w:w="1262" w:type="dxa"/>
          </w:tcPr>
          <w:p>
            <w:pPr>
              <w:pStyle w:val="TableParagraph"/>
              <w:spacing w:line="225" w:lineRule="auto" w:before="128"/>
              <w:ind w:left="218" w:right="216" w:hanging="1"/>
              <w:rPr>
                <w:sz w:val="14"/>
              </w:rPr>
            </w:pPr>
            <w:r>
              <w:rPr>
                <w:sz w:val="14"/>
              </w:rPr>
              <w:t>Frédéric Adam, et </w:t>
            </w:r>
            <w:r>
              <w:rPr>
                <w:spacing w:val="-8"/>
                <w:sz w:val="14"/>
              </w:rPr>
              <w:t>al </w:t>
            </w:r>
            <w:r>
              <w:rPr>
                <w:sz w:val="14"/>
              </w:rPr>
              <w:t>1999</w:t>
            </w:r>
          </w:p>
          <w:p>
            <w:pPr>
              <w:pStyle w:val="TableParagraph"/>
              <w:spacing w:line="162" w:lineRule="exact"/>
              <w:ind w:left="82" w:right="82"/>
              <w:rPr>
                <w:sz w:val="14"/>
              </w:rPr>
            </w:pPr>
            <w:r>
              <w:rPr>
                <w:sz w:val="14"/>
              </w:rPr>
              <w:t>(30)</w:t>
            </w:r>
          </w:p>
        </w:tc>
        <w:tc>
          <w:tcPr>
            <w:tcW w:w="1205" w:type="dxa"/>
          </w:tcPr>
          <w:p>
            <w:pPr>
              <w:pStyle w:val="TableParagraph"/>
              <w:spacing w:before="105"/>
              <w:ind w:left="111"/>
              <w:jc w:val="left"/>
              <w:rPr>
                <w:sz w:val="14"/>
              </w:rPr>
            </w:pPr>
            <w:r>
              <w:rPr>
                <w:sz w:val="14"/>
              </w:rPr>
              <w:t>Mastectomía .</w:t>
            </w:r>
          </w:p>
        </w:tc>
        <w:tc>
          <w:tcPr>
            <w:tcW w:w="1190" w:type="dxa"/>
          </w:tcPr>
          <w:p>
            <w:pPr>
              <w:pStyle w:val="TableParagraph"/>
              <w:spacing w:line="165" w:lineRule="exact" w:before="105"/>
              <w:ind w:left="128"/>
              <w:jc w:val="left"/>
              <w:rPr>
                <w:sz w:val="14"/>
              </w:rPr>
            </w:pPr>
            <w:r>
              <w:rPr>
                <w:sz w:val="14"/>
              </w:rPr>
              <w:t>Randomizado,</w:t>
            </w:r>
          </w:p>
          <w:p>
            <w:pPr>
              <w:pStyle w:val="TableParagraph"/>
              <w:spacing w:line="165" w:lineRule="exact"/>
              <w:ind w:left="201"/>
              <w:jc w:val="left"/>
              <w:rPr>
                <w:sz w:val="14"/>
              </w:rPr>
            </w:pPr>
            <w:r>
              <w:rPr>
                <w:sz w:val="14"/>
              </w:rPr>
              <w:t>doble ciego.</w:t>
            </w:r>
          </w:p>
        </w:tc>
        <w:tc>
          <w:tcPr>
            <w:tcW w:w="1148" w:type="dxa"/>
          </w:tcPr>
          <w:p>
            <w:pPr>
              <w:pStyle w:val="TableParagraph"/>
              <w:spacing w:line="165" w:lineRule="exact" w:before="105"/>
              <w:ind w:left="92"/>
              <w:jc w:val="left"/>
              <w:rPr>
                <w:sz w:val="14"/>
              </w:rPr>
            </w:pPr>
            <w:r>
              <w:rPr>
                <w:sz w:val="14"/>
              </w:rPr>
              <w:t>128 pacientes</w:t>
            </w:r>
          </w:p>
          <w:p>
            <w:pPr>
              <w:pStyle w:val="TableParagraph"/>
              <w:spacing w:line="160" w:lineRule="exact"/>
              <w:ind w:left="302"/>
              <w:jc w:val="left"/>
              <w:rPr>
                <w:sz w:val="14"/>
              </w:rPr>
            </w:pPr>
            <w:r>
              <w:rPr>
                <w:sz w:val="14"/>
              </w:rPr>
              <w:t>ASA I,II</w:t>
            </w:r>
          </w:p>
          <w:p>
            <w:pPr>
              <w:pStyle w:val="TableParagraph"/>
              <w:spacing w:line="160" w:lineRule="exact"/>
              <w:ind w:left="124"/>
              <w:jc w:val="left"/>
              <w:rPr>
                <w:sz w:val="14"/>
              </w:rPr>
            </w:pPr>
            <w:r>
              <w:rPr>
                <w:sz w:val="14"/>
              </w:rPr>
              <w:t>Edad</w:t>
            </w:r>
            <w:r>
              <w:rPr>
                <w:spacing w:val="-4"/>
                <w:sz w:val="14"/>
              </w:rPr>
              <w:t> </w:t>
            </w:r>
            <w:r>
              <w:rPr>
                <w:sz w:val="14"/>
              </w:rPr>
              <w:t>50±10.</w:t>
            </w:r>
          </w:p>
          <w:p>
            <w:pPr>
              <w:pStyle w:val="TableParagraph"/>
              <w:spacing w:line="165" w:lineRule="exact"/>
              <w:ind w:left="136"/>
              <w:jc w:val="left"/>
              <w:rPr>
                <w:sz w:val="14"/>
              </w:rPr>
            </w:pPr>
            <w:r>
              <w:rPr>
                <w:sz w:val="14"/>
              </w:rPr>
              <w:t>Peso</w:t>
            </w:r>
            <w:r>
              <w:rPr>
                <w:spacing w:val="-4"/>
                <w:sz w:val="14"/>
              </w:rPr>
              <w:t> </w:t>
            </w:r>
            <w:r>
              <w:rPr>
                <w:sz w:val="14"/>
              </w:rPr>
              <w:t>65±10.</w:t>
            </w:r>
          </w:p>
        </w:tc>
        <w:tc>
          <w:tcPr>
            <w:tcW w:w="1205" w:type="dxa"/>
          </w:tcPr>
          <w:p>
            <w:pPr>
              <w:pStyle w:val="TableParagraph"/>
              <w:spacing w:line="225" w:lineRule="auto" w:before="113"/>
              <w:ind w:left="104" w:right="61"/>
              <w:rPr>
                <w:sz w:val="14"/>
              </w:rPr>
            </w:pPr>
            <w:r>
              <w:rPr>
                <w:sz w:val="14"/>
              </w:rPr>
              <w:t>KET 0,15 mg/ kg EV 5min previo a la cirugía + 5ml de solución salina 0,9% al finalizar.</w:t>
            </w:r>
          </w:p>
        </w:tc>
        <w:tc>
          <w:tcPr>
            <w:tcW w:w="1177" w:type="dxa"/>
          </w:tcPr>
          <w:p>
            <w:pPr>
              <w:pStyle w:val="TableParagraph"/>
              <w:spacing w:line="225" w:lineRule="auto" w:before="113"/>
              <w:ind w:left="185" w:right="102" w:hanging="23"/>
              <w:jc w:val="both"/>
              <w:rPr>
                <w:sz w:val="14"/>
              </w:rPr>
            </w:pPr>
            <w:r>
              <w:rPr>
                <w:sz w:val="14"/>
              </w:rPr>
              <w:t>5ml solución salina 0,9% 5min previo a la cirugía</w:t>
            </w:r>
          </w:p>
          <w:p>
            <w:pPr>
              <w:pStyle w:val="TableParagraph"/>
              <w:spacing w:line="157" w:lineRule="exact"/>
              <w:ind w:left="203"/>
              <w:jc w:val="both"/>
              <w:rPr>
                <w:sz w:val="14"/>
              </w:rPr>
            </w:pPr>
            <w:r>
              <w:rPr>
                <w:sz w:val="14"/>
              </w:rPr>
              <w:t>+ KET 0,15</w:t>
            </w:r>
          </w:p>
          <w:p>
            <w:pPr>
              <w:pStyle w:val="TableParagraph"/>
              <w:spacing w:line="225" w:lineRule="auto" w:before="3"/>
              <w:ind w:left="312" w:right="112" w:hanging="140"/>
              <w:jc w:val="left"/>
              <w:rPr>
                <w:sz w:val="14"/>
              </w:rPr>
            </w:pPr>
            <w:r>
              <w:rPr>
                <w:sz w:val="14"/>
              </w:rPr>
              <w:t>mg/kg EV al finalizar.</w:t>
            </w:r>
          </w:p>
        </w:tc>
        <w:tc>
          <w:tcPr>
            <w:tcW w:w="1262" w:type="dxa"/>
          </w:tcPr>
          <w:p>
            <w:pPr>
              <w:pStyle w:val="TableParagraph"/>
              <w:spacing w:line="225" w:lineRule="auto" w:before="113"/>
              <w:ind w:left="82" w:right="65"/>
              <w:rPr>
                <w:sz w:val="14"/>
              </w:rPr>
            </w:pPr>
            <w:r>
              <w:rPr>
                <w:sz w:val="14"/>
              </w:rPr>
              <w:t>Sin diferencias en el consumo acumulado</w:t>
            </w:r>
          </w:p>
          <w:p>
            <w:pPr>
              <w:pStyle w:val="TableParagraph"/>
              <w:spacing w:line="225" w:lineRule="auto"/>
              <w:ind w:left="194" w:right="177" w:hanging="1"/>
              <w:rPr>
                <w:sz w:val="14"/>
              </w:rPr>
            </w:pPr>
            <w:r>
              <w:rPr>
                <w:sz w:val="14"/>
              </w:rPr>
              <w:t>de morfina durante las primeras 24 hrs.</w:t>
            </w:r>
          </w:p>
        </w:tc>
        <w:tc>
          <w:tcPr>
            <w:tcW w:w="1181" w:type="dxa"/>
          </w:tcPr>
          <w:p>
            <w:pPr>
              <w:pStyle w:val="TableParagraph"/>
              <w:spacing w:line="225" w:lineRule="auto" w:before="113"/>
              <w:ind w:left="102" w:right="77" w:hanging="2"/>
              <w:rPr>
                <w:sz w:val="14"/>
              </w:rPr>
            </w:pPr>
            <w:r>
              <w:rPr>
                <w:sz w:val="14"/>
              </w:rPr>
              <w:t>NVPO sin diferencias No se reportaron alucinaciones, pesadillas.</w:t>
            </w:r>
          </w:p>
        </w:tc>
      </w:tr>
    </w:tbl>
    <w:p>
      <w:pPr>
        <w:spacing w:line="223" w:lineRule="auto" w:before="128"/>
        <w:ind w:left="113" w:right="0" w:firstLine="0"/>
        <w:jc w:val="left"/>
        <w:rPr>
          <w:rFonts w:ascii="Verdana" w:hAnsi="Verdana"/>
          <w:i/>
          <w:sz w:val="16"/>
        </w:rPr>
      </w:pPr>
      <w:r>
        <w:rPr>
          <w:rFonts w:ascii="Verdana" w:hAnsi="Verdana"/>
          <w:i/>
          <w:color w:val="6D6E71"/>
          <w:sz w:val="16"/>
        </w:rPr>
        <w:t>* Todos los pacientes recibieron una dosis inicial de tramadol (3mgxkg) seguida de una infusión de tramadol de 0,2 </w:t>
      </w:r>
      <w:r>
        <w:rPr>
          <w:rFonts w:ascii="Verdana" w:hAnsi="Verdana"/>
          <w:i/>
          <w:color w:val="6D6E71"/>
          <w:sz w:val="16"/>
        </w:rPr>
        <w:t>mg/kg/h por 48h.</w:t>
      </w:r>
    </w:p>
    <w:p>
      <w:pPr>
        <w:pStyle w:val="BodyText"/>
        <w:spacing w:before="8"/>
        <w:rPr>
          <w:rFonts w:ascii="Verdana"/>
          <w:i/>
          <w:sz w:val="14"/>
        </w:rPr>
      </w:pPr>
    </w:p>
    <w:p>
      <w:pPr>
        <w:spacing w:line="223" w:lineRule="auto" w:before="1"/>
        <w:ind w:left="113" w:right="0" w:firstLine="0"/>
        <w:jc w:val="left"/>
        <w:rPr>
          <w:rFonts w:ascii="Verdana" w:hAnsi="Verdana"/>
          <w:i/>
          <w:sz w:val="16"/>
        </w:rPr>
      </w:pPr>
      <w:r>
        <w:rPr>
          <w:rFonts w:ascii="Verdana" w:hAnsi="Verdana"/>
          <w:i/>
          <w:color w:val="6D6E71"/>
          <w:sz w:val="16"/>
        </w:rPr>
        <w:t>** Todos los pacientes estaban con un bloqueo continuo del nervio femoral (infusión continua de 0,1 ml/kg/h de </w:t>
      </w:r>
      <w:r>
        <w:rPr>
          <w:rFonts w:ascii="Verdana" w:hAnsi="Verdana"/>
          <w:i/>
          <w:color w:val="6D6E71"/>
          <w:sz w:val="16"/>
        </w:rPr>
        <w:t>ropivacaína a 0,2%.)</w:t>
      </w:r>
    </w:p>
    <w:p>
      <w:pPr>
        <w:spacing w:after="0" w:line="223" w:lineRule="auto"/>
        <w:jc w:val="left"/>
        <w:rPr>
          <w:rFonts w:ascii="Verdana" w:hAnsi="Verdana"/>
          <w:sz w:val="16"/>
        </w:rPr>
        <w:sectPr>
          <w:pgSz w:w="11910" w:h="15310"/>
          <w:pgMar w:header="879" w:footer="0" w:top="1120" w:bottom="280" w:left="1020" w:right="1020"/>
        </w:sectPr>
      </w:pPr>
    </w:p>
    <w:p>
      <w:pPr>
        <w:pStyle w:val="BodyText"/>
        <w:spacing w:line="20" w:lineRule="exact"/>
        <w:ind w:left="103"/>
        <w:rPr>
          <w:rFonts w:ascii="Verdana"/>
          <w:sz w:val="2"/>
        </w:rPr>
      </w:pPr>
      <w:r>
        <w:rPr>
          <w:rFonts w:ascii="Verdana"/>
          <w:sz w:val="2"/>
        </w:rPr>
        <w:pict>
          <v:group style="width:481.9pt;height:1pt;mso-position-horizontal-relative:char;mso-position-vertical-relative:line" coordorigin="0,0" coordsize="9638,20">
            <v:line style="position:absolute" from="0,10" to="9638,10" stroked="true" strokeweight="1pt" strokecolor="#000000">
              <v:stroke dashstyle="solid"/>
            </v:line>
          </v:group>
        </w:pict>
      </w:r>
      <w:r>
        <w:rPr>
          <w:rFonts w:ascii="Verdana"/>
          <w:sz w:val="2"/>
        </w:rPr>
      </w: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spacing w:before="5"/>
        <w:rPr>
          <w:rFonts w:ascii="Verdana"/>
          <w:i/>
          <w:sz w:val="27"/>
        </w:rPr>
      </w:pPr>
    </w:p>
    <w:p>
      <w:pPr>
        <w:spacing w:after="0"/>
        <w:rPr>
          <w:rFonts w:ascii="Verdana"/>
          <w:sz w:val="27"/>
        </w:rPr>
        <w:sectPr>
          <w:pgSz w:w="11910" w:h="15310"/>
          <w:pgMar w:header="694" w:footer="0" w:top="1100" w:bottom="280" w:left="1020" w:right="1020"/>
        </w:sectPr>
      </w:pPr>
    </w:p>
    <w:p>
      <w:pPr>
        <w:pStyle w:val="BodyText"/>
        <w:spacing w:line="225" w:lineRule="auto" w:before="106"/>
        <w:ind w:left="113" w:right="42"/>
        <w:jc w:val="both"/>
      </w:pPr>
      <w:r>
        <w:rPr/>
        <w:t>puede tener relevancia en la prevención de la sensibilización central y el desarrollo de dolor crónico después de cirugía, así como permitir un alta más precoz de la sala de recuperación a través de la mejora de la gestión del dolor postoperatorio</w:t>
      </w:r>
    </w:p>
    <w:p>
      <w:pPr>
        <w:pStyle w:val="BodyText"/>
        <w:spacing w:line="225" w:lineRule="auto" w:before="2"/>
        <w:ind w:left="113" w:right="43"/>
        <w:jc w:val="both"/>
      </w:pPr>
      <w:r>
        <w:rPr/>
        <w:t>Existe la creencia de que el momento de la administración de KET en relación con la cirugía puede ser significativa en su eficacia, particularmente en relación con la prevención de la activación de los receptores NMDA, pero no se ha podido demostrar una relación entre la eficacia de la analgesia y hora de administración.</w:t>
      </w:r>
    </w:p>
    <w:p>
      <w:pPr>
        <w:pStyle w:val="BodyText"/>
        <w:spacing w:line="225" w:lineRule="auto" w:before="2"/>
        <w:ind w:left="113" w:right="43"/>
        <w:jc w:val="both"/>
      </w:pPr>
      <w:r>
        <w:rPr/>
        <w:t>Una de las </w:t>
      </w:r>
      <w:r>
        <w:rPr>
          <w:spacing w:val="-3"/>
        </w:rPr>
        <w:t>preocupaciones </w:t>
      </w:r>
      <w:r>
        <w:rPr/>
        <w:t>con el uso de la KET </w:t>
      </w:r>
      <w:r>
        <w:rPr>
          <w:spacing w:val="-3"/>
        </w:rPr>
        <w:t>como agente analgésico </w:t>
      </w:r>
      <w:r>
        <w:rPr/>
        <w:t>es su </w:t>
      </w:r>
      <w:r>
        <w:rPr>
          <w:spacing w:val="-3"/>
        </w:rPr>
        <w:t>potencial </w:t>
      </w:r>
      <w:r>
        <w:rPr/>
        <w:t>de </w:t>
      </w:r>
      <w:r>
        <w:rPr>
          <w:spacing w:val="-3"/>
        </w:rPr>
        <w:t>efectos secundarios, </w:t>
      </w:r>
      <w:r>
        <w:rPr/>
        <w:t>en </w:t>
      </w:r>
      <w:r>
        <w:rPr>
          <w:spacing w:val="-4"/>
        </w:rPr>
        <w:t>particular, </w:t>
      </w:r>
      <w:r>
        <w:rPr/>
        <w:t>las </w:t>
      </w:r>
      <w:r>
        <w:rPr>
          <w:spacing w:val="-3"/>
        </w:rPr>
        <w:t>alucinaciones </w:t>
      </w:r>
      <w:r>
        <w:rPr/>
        <w:t>y </w:t>
      </w:r>
      <w:r>
        <w:rPr>
          <w:spacing w:val="-3"/>
        </w:rPr>
        <w:t>sedación. </w:t>
      </w:r>
      <w:r>
        <w:rPr/>
        <w:t>En </w:t>
      </w:r>
      <w:r>
        <w:rPr>
          <w:spacing w:val="-3"/>
        </w:rPr>
        <w:t>general, </w:t>
      </w:r>
      <w:r>
        <w:rPr/>
        <w:t>no se </w:t>
      </w:r>
      <w:r>
        <w:rPr>
          <w:spacing w:val="-3"/>
        </w:rPr>
        <w:t>observan eventos adversos</w:t>
      </w:r>
      <w:r>
        <w:rPr>
          <w:spacing w:val="-22"/>
        </w:rPr>
        <w:t> </w:t>
      </w:r>
      <w:r>
        <w:rPr>
          <w:spacing w:val="-3"/>
        </w:rPr>
        <w:t>asociados</w:t>
      </w:r>
      <w:r>
        <w:rPr>
          <w:spacing w:val="-21"/>
        </w:rPr>
        <w:t> </w:t>
      </w:r>
      <w:r>
        <w:rPr/>
        <w:t>con</w:t>
      </w:r>
      <w:r>
        <w:rPr>
          <w:spacing w:val="-22"/>
        </w:rPr>
        <w:t> </w:t>
      </w:r>
      <w:r>
        <w:rPr/>
        <w:t>el</w:t>
      </w:r>
      <w:r>
        <w:rPr>
          <w:spacing w:val="-21"/>
        </w:rPr>
        <w:t> </w:t>
      </w:r>
      <w:r>
        <w:rPr/>
        <w:t>uso</w:t>
      </w:r>
      <w:r>
        <w:rPr>
          <w:spacing w:val="-22"/>
        </w:rPr>
        <w:t> </w:t>
      </w:r>
      <w:r>
        <w:rPr/>
        <w:t>de</w:t>
      </w:r>
      <w:r>
        <w:rPr>
          <w:spacing w:val="-21"/>
        </w:rPr>
        <w:t> </w:t>
      </w:r>
      <w:r>
        <w:rPr/>
        <w:t>la</w:t>
      </w:r>
      <w:r>
        <w:rPr>
          <w:spacing w:val="-21"/>
        </w:rPr>
        <w:t> </w:t>
      </w:r>
      <w:r>
        <w:rPr>
          <w:spacing w:val="-6"/>
        </w:rPr>
        <w:t>KET,</w:t>
      </w:r>
      <w:r>
        <w:rPr>
          <w:spacing w:val="-22"/>
        </w:rPr>
        <w:t> </w:t>
      </w:r>
      <w:r>
        <w:rPr/>
        <w:t>a</w:t>
      </w:r>
      <w:r>
        <w:rPr>
          <w:spacing w:val="-21"/>
        </w:rPr>
        <w:t> </w:t>
      </w:r>
      <w:r>
        <w:rPr/>
        <w:t>las</w:t>
      </w:r>
      <w:r>
        <w:rPr>
          <w:spacing w:val="-22"/>
        </w:rPr>
        <w:t> </w:t>
      </w:r>
      <w:r>
        <w:rPr>
          <w:spacing w:val="-3"/>
        </w:rPr>
        <w:t>dosis</w:t>
      </w:r>
      <w:r>
        <w:rPr>
          <w:spacing w:val="-21"/>
        </w:rPr>
        <w:t> </w:t>
      </w:r>
      <w:r>
        <w:rPr>
          <w:spacing w:val="-3"/>
        </w:rPr>
        <w:t>subanestésicas utilizadas habitualmente </w:t>
      </w:r>
      <w:r>
        <w:rPr/>
        <w:t>en </w:t>
      </w:r>
      <w:r>
        <w:rPr>
          <w:spacing w:val="-3"/>
        </w:rPr>
        <w:t>estos estudios, </w:t>
      </w:r>
      <w:r>
        <w:rPr/>
        <w:t>y los </w:t>
      </w:r>
      <w:r>
        <w:rPr>
          <w:spacing w:val="-3"/>
        </w:rPr>
        <w:t>reportados son comparables</w:t>
      </w:r>
      <w:r>
        <w:rPr>
          <w:spacing w:val="-7"/>
        </w:rPr>
        <w:t> </w:t>
      </w:r>
      <w:r>
        <w:rPr/>
        <w:t>a</w:t>
      </w:r>
      <w:r>
        <w:rPr>
          <w:spacing w:val="-6"/>
        </w:rPr>
        <w:t> </w:t>
      </w:r>
      <w:r>
        <w:rPr/>
        <w:t>los</w:t>
      </w:r>
      <w:r>
        <w:rPr>
          <w:spacing w:val="-6"/>
        </w:rPr>
        <w:t> </w:t>
      </w:r>
      <w:r>
        <w:rPr>
          <w:spacing w:val="-3"/>
        </w:rPr>
        <w:t>obtenidos</w:t>
      </w:r>
      <w:r>
        <w:rPr>
          <w:spacing w:val="-6"/>
        </w:rPr>
        <w:t> </w:t>
      </w:r>
      <w:r>
        <w:rPr/>
        <w:t>en</w:t>
      </w:r>
      <w:r>
        <w:rPr>
          <w:spacing w:val="-6"/>
        </w:rPr>
        <w:t> </w:t>
      </w:r>
      <w:r>
        <w:rPr/>
        <w:t>los</w:t>
      </w:r>
      <w:r>
        <w:rPr>
          <w:spacing w:val="-7"/>
        </w:rPr>
        <w:t> </w:t>
      </w:r>
      <w:r>
        <w:rPr>
          <w:spacing w:val="-3"/>
        </w:rPr>
        <w:t>grupos</w:t>
      </w:r>
      <w:r>
        <w:rPr>
          <w:spacing w:val="-6"/>
        </w:rPr>
        <w:t> </w:t>
      </w:r>
      <w:r>
        <w:rPr>
          <w:spacing w:val="-3"/>
        </w:rPr>
        <w:t>control.</w:t>
      </w:r>
    </w:p>
    <w:p>
      <w:pPr>
        <w:pStyle w:val="BodyText"/>
        <w:spacing w:line="225" w:lineRule="auto" w:before="2"/>
        <w:ind w:left="113" w:right="43"/>
        <w:jc w:val="both"/>
      </w:pPr>
      <w:r>
        <w:rPr/>
        <w:t>La</w:t>
      </w:r>
      <w:r>
        <w:rPr>
          <w:spacing w:val="-24"/>
        </w:rPr>
        <w:t> </w:t>
      </w:r>
      <w:r>
        <w:rPr/>
        <w:t>dosis</w:t>
      </w:r>
      <w:r>
        <w:rPr>
          <w:spacing w:val="-24"/>
        </w:rPr>
        <w:t> </w:t>
      </w:r>
      <w:r>
        <w:rPr/>
        <w:t>óptima</w:t>
      </w:r>
      <w:r>
        <w:rPr>
          <w:spacing w:val="-24"/>
        </w:rPr>
        <w:t> </w:t>
      </w:r>
      <w:r>
        <w:rPr/>
        <w:t>es</w:t>
      </w:r>
      <w:r>
        <w:rPr>
          <w:spacing w:val="-24"/>
        </w:rPr>
        <w:t> </w:t>
      </w:r>
      <w:r>
        <w:rPr/>
        <w:t>otra</w:t>
      </w:r>
      <w:r>
        <w:rPr>
          <w:spacing w:val="-24"/>
        </w:rPr>
        <w:t> </w:t>
      </w:r>
      <w:r>
        <w:rPr/>
        <w:t>área</w:t>
      </w:r>
      <w:r>
        <w:rPr>
          <w:spacing w:val="-24"/>
        </w:rPr>
        <w:t> </w:t>
      </w:r>
      <w:r>
        <w:rPr/>
        <w:t>de</w:t>
      </w:r>
      <w:r>
        <w:rPr>
          <w:spacing w:val="-24"/>
        </w:rPr>
        <w:t> </w:t>
      </w:r>
      <w:r>
        <w:rPr/>
        <w:t>controversia.</w:t>
      </w:r>
      <w:r>
        <w:rPr>
          <w:spacing w:val="-24"/>
        </w:rPr>
        <w:t> </w:t>
      </w:r>
      <w:r>
        <w:rPr/>
        <w:t>En</w:t>
      </w:r>
      <w:r>
        <w:rPr>
          <w:spacing w:val="-24"/>
        </w:rPr>
        <w:t> </w:t>
      </w:r>
      <w:r>
        <w:rPr/>
        <w:t>un</w:t>
      </w:r>
      <w:r>
        <w:rPr>
          <w:spacing w:val="-24"/>
        </w:rPr>
        <w:t> </w:t>
      </w:r>
      <w:r>
        <w:rPr/>
        <w:t>estudio,</w:t>
      </w:r>
      <w:r>
        <w:rPr>
          <w:spacing w:val="-24"/>
        </w:rPr>
        <w:t> </w:t>
      </w:r>
      <w:r>
        <w:rPr/>
        <w:t>la</w:t>
      </w:r>
      <w:r>
        <w:rPr>
          <w:spacing w:val="-23"/>
        </w:rPr>
        <w:t> </w:t>
      </w:r>
      <w:r>
        <w:rPr/>
        <w:t>tasa de</w:t>
      </w:r>
      <w:r>
        <w:rPr>
          <w:spacing w:val="-15"/>
        </w:rPr>
        <w:t> </w:t>
      </w:r>
      <w:r>
        <w:rPr/>
        <w:t>infusión</w:t>
      </w:r>
      <w:r>
        <w:rPr>
          <w:spacing w:val="-14"/>
        </w:rPr>
        <w:t> </w:t>
      </w:r>
      <w:r>
        <w:rPr/>
        <w:t>para</w:t>
      </w:r>
      <w:r>
        <w:rPr>
          <w:spacing w:val="-15"/>
        </w:rPr>
        <w:t> </w:t>
      </w:r>
      <w:r>
        <w:rPr/>
        <w:t>pacientes</w:t>
      </w:r>
      <w:r>
        <w:rPr>
          <w:spacing w:val="-14"/>
        </w:rPr>
        <w:t> </w:t>
      </w:r>
      <w:r>
        <w:rPr/>
        <w:t>asignados</w:t>
      </w:r>
      <w:r>
        <w:rPr>
          <w:spacing w:val="-14"/>
        </w:rPr>
        <w:t> </w:t>
      </w:r>
      <w:r>
        <w:rPr/>
        <w:t>aleatoriamente</w:t>
      </w:r>
      <w:r>
        <w:rPr>
          <w:spacing w:val="-15"/>
        </w:rPr>
        <w:t> </w:t>
      </w:r>
      <w:r>
        <w:rPr/>
        <w:t>para</w:t>
      </w:r>
      <w:r>
        <w:rPr>
          <w:spacing w:val="-14"/>
        </w:rPr>
        <w:t> </w:t>
      </w:r>
      <w:r>
        <w:rPr/>
        <w:t>recibir la KET era calculada mediante una simulación computarizada farmacocinética y fue creado para producir una concentración analgésica teórica en plasma de 100</w:t>
      </w:r>
      <w:r>
        <w:rPr>
          <w:spacing w:val="-31"/>
        </w:rPr>
        <w:t> </w:t>
      </w:r>
      <w:r>
        <w:rPr>
          <w:spacing w:val="-2"/>
        </w:rPr>
        <w:t>ng/ml.</w:t>
      </w:r>
    </w:p>
    <w:p>
      <w:pPr>
        <w:pStyle w:val="BodyText"/>
        <w:spacing w:line="193" w:lineRule="exact"/>
        <w:ind w:left="113"/>
        <w:jc w:val="both"/>
      </w:pPr>
      <w:r>
        <w:rPr/>
        <w:t>Considerando</w:t>
      </w:r>
      <w:r>
        <w:rPr>
          <w:spacing w:val="23"/>
        </w:rPr>
        <w:t> </w:t>
      </w:r>
      <w:r>
        <w:rPr/>
        <w:t>que</w:t>
      </w:r>
      <w:r>
        <w:rPr>
          <w:spacing w:val="24"/>
        </w:rPr>
        <w:t> </w:t>
      </w:r>
      <w:r>
        <w:rPr/>
        <w:t>la</w:t>
      </w:r>
      <w:r>
        <w:rPr>
          <w:spacing w:val="24"/>
        </w:rPr>
        <w:t> </w:t>
      </w:r>
      <w:r>
        <w:rPr/>
        <w:t>afinidad</w:t>
      </w:r>
      <w:r>
        <w:rPr>
          <w:spacing w:val="23"/>
        </w:rPr>
        <w:t> </w:t>
      </w:r>
      <w:r>
        <w:rPr/>
        <w:t>de</w:t>
      </w:r>
      <w:r>
        <w:rPr>
          <w:spacing w:val="24"/>
        </w:rPr>
        <w:t> </w:t>
      </w:r>
      <w:r>
        <w:rPr/>
        <w:t>la</w:t>
      </w:r>
      <w:r>
        <w:rPr>
          <w:spacing w:val="24"/>
        </w:rPr>
        <w:t> </w:t>
      </w:r>
      <w:r>
        <w:rPr/>
        <w:t>KET</w:t>
      </w:r>
      <w:r>
        <w:rPr>
          <w:spacing w:val="20"/>
        </w:rPr>
        <w:t> </w:t>
      </w:r>
      <w:r>
        <w:rPr/>
        <w:t>para</w:t>
      </w:r>
      <w:r>
        <w:rPr>
          <w:spacing w:val="24"/>
        </w:rPr>
        <w:t> </w:t>
      </w:r>
      <w:r>
        <w:rPr/>
        <w:t>los</w:t>
      </w:r>
      <w:r>
        <w:rPr>
          <w:spacing w:val="24"/>
        </w:rPr>
        <w:t> </w:t>
      </w:r>
      <w:r>
        <w:rPr/>
        <w:t>receptores</w:t>
      </w:r>
    </w:p>
    <w:p>
      <w:pPr>
        <w:pStyle w:val="BodyText"/>
        <w:spacing w:line="195" w:lineRule="exact"/>
        <w:ind w:left="113"/>
        <w:jc w:val="both"/>
      </w:pPr>
      <w:r>
        <w:rPr/>
        <w:t>de</w:t>
      </w:r>
      <w:r>
        <w:rPr>
          <w:spacing w:val="10"/>
        </w:rPr>
        <w:t> </w:t>
      </w:r>
      <w:r>
        <w:rPr/>
        <w:t>NMDA</w:t>
      </w:r>
      <w:r>
        <w:rPr>
          <w:spacing w:val="1"/>
        </w:rPr>
        <w:t> </w:t>
      </w:r>
      <w:r>
        <w:rPr/>
        <w:t>es</w:t>
      </w:r>
      <w:r>
        <w:rPr>
          <w:spacing w:val="11"/>
        </w:rPr>
        <w:t> </w:t>
      </w:r>
      <w:r>
        <w:rPr/>
        <w:t>de</w:t>
      </w:r>
      <w:r>
        <w:rPr>
          <w:spacing w:val="10"/>
        </w:rPr>
        <w:t> </w:t>
      </w:r>
      <w:r>
        <w:rPr/>
        <w:t>una</w:t>
      </w:r>
      <w:r>
        <w:rPr>
          <w:spacing w:val="11"/>
        </w:rPr>
        <w:t> </w:t>
      </w:r>
      <w:r>
        <w:rPr/>
        <w:t>magnitud</w:t>
      </w:r>
      <w:r>
        <w:rPr>
          <w:spacing w:val="11"/>
        </w:rPr>
        <w:t> </w:t>
      </w:r>
      <w:r>
        <w:rPr/>
        <w:t>mayor</w:t>
      </w:r>
      <w:r>
        <w:rPr>
          <w:spacing w:val="10"/>
        </w:rPr>
        <w:t> </w:t>
      </w:r>
      <w:r>
        <w:rPr/>
        <w:t>que</w:t>
      </w:r>
      <w:r>
        <w:rPr>
          <w:spacing w:val="11"/>
        </w:rPr>
        <w:t> </w:t>
      </w:r>
      <w:r>
        <w:rPr/>
        <w:t>para</w:t>
      </w:r>
      <w:r>
        <w:rPr>
          <w:spacing w:val="11"/>
        </w:rPr>
        <w:t> </w:t>
      </w:r>
      <w:r>
        <w:rPr/>
        <w:t>los</w:t>
      </w:r>
      <w:r>
        <w:rPr>
          <w:spacing w:val="11"/>
        </w:rPr>
        <w:t> </w:t>
      </w:r>
      <w:r>
        <w:rPr/>
        <w:t>receptores</w:t>
      </w:r>
    </w:p>
    <w:p>
      <w:pPr>
        <w:pStyle w:val="BodyText"/>
        <w:spacing w:line="225" w:lineRule="auto" w:before="4"/>
        <w:ind w:left="113" w:right="42"/>
        <w:jc w:val="both"/>
      </w:pPr>
      <w:r>
        <w:rPr/>
        <w:t>µ y ésta a su vez, varias veces mayor que para sitios monoaminérgicos</w:t>
      </w:r>
      <w:r>
        <w:rPr>
          <w:spacing w:val="-9"/>
        </w:rPr>
        <w:t> </w:t>
      </w:r>
      <w:r>
        <w:rPr/>
        <w:t>u</w:t>
      </w:r>
      <w:r>
        <w:rPr>
          <w:spacing w:val="-8"/>
        </w:rPr>
        <w:t> </w:t>
      </w:r>
      <w:r>
        <w:rPr/>
        <w:t>otros</w:t>
      </w:r>
      <w:r>
        <w:rPr>
          <w:spacing w:val="-9"/>
        </w:rPr>
        <w:t> </w:t>
      </w:r>
      <w:r>
        <w:rPr/>
        <w:t>receptores</w:t>
      </w:r>
      <w:r>
        <w:rPr>
          <w:spacing w:val="-9"/>
        </w:rPr>
        <w:t> </w:t>
      </w:r>
      <w:r>
        <w:rPr/>
        <w:t>no-NMDA;</w:t>
      </w:r>
      <w:r>
        <w:rPr>
          <w:spacing w:val="-9"/>
        </w:rPr>
        <w:t> </w:t>
      </w:r>
      <w:r>
        <w:rPr/>
        <w:t>se</w:t>
      </w:r>
      <w:r>
        <w:rPr>
          <w:spacing w:val="-8"/>
        </w:rPr>
        <w:t> </w:t>
      </w:r>
      <w:r>
        <w:rPr/>
        <w:t>sugiere</w:t>
      </w:r>
      <w:r>
        <w:rPr>
          <w:spacing w:val="-9"/>
        </w:rPr>
        <w:t> </w:t>
      </w:r>
      <w:r>
        <w:rPr/>
        <w:t>que cuanto menor sea la dosis, más selectiva es la interacción de la KET con los receptores NMDA. Con estas pequeñas dosis, un efecto específico sobre alodinia e hiperalgesia es compatible con la ausencia de efectos psicóticos.</w:t>
      </w:r>
    </w:p>
    <w:p>
      <w:pPr>
        <w:pStyle w:val="BodyText"/>
        <w:spacing w:line="225" w:lineRule="auto" w:before="2"/>
        <w:ind w:left="113" w:right="42"/>
        <w:jc w:val="both"/>
      </w:pPr>
      <w:r>
        <w:rPr/>
        <w:t>Luego de una cirugía </w:t>
      </w:r>
      <w:r>
        <w:rPr>
          <w:spacing w:val="-3"/>
        </w:rPr>
        <w:t>mayor,  </w:t>
      </w:r>
      <w:r>
        <w:rPr/>
        <w:t>la administración de KET no   ha demostrado ser completamente efectiva y los resultados obtenidos varían según el estudio (30, 31). En procedimientos mínimamente invasivos, como cirugía laparoscópica, la efectividad de KET ha demostrado ser mayor (32, 33). El </w:t>
      </w:r>
      <w:r>
        <w:rPr>
          <w:spacing w:val="-2"/>
        </w:rPr>
        <w:t>uso </w:t>
      </w:r>
      <w:r>
        <w:rPr/>
        <w:t>complementario de pequeñas dosis de </w:t>
      </w:r>
      <w:r>
        <w:rPr>
          <w:spacing w:val="-5"/>
        </w:rPr>
        <w:t>KET, </w:t>
      </w:r>
      <w:r>
        <w:rPr/>
        <w:t>rango que varía entre</w:t>
      </w:r>
      <w:r>
        <w:rPr>
          <w:spacing w:val="-10"/>
        </w:rPr>
        <w:t> </w:t>
      </w:r>
      <w:r>
        <w:rPr/>
        <w:t>0,1-0,3</w:t>
      </w:r>
      <w:r>
        <w:rPr>
          <w:spacing w:val="-10"/>
        </w:rPr>
        <w:t> </w:t>
      </w:r>
      <w:r>
        <w:rPr/>
        <w:t>mg/kg</w:t>
      </w:r>
      <w:r>
        <w:rPr>
          <w:spacing w:val="-9"/>
        </w:rPr>
        <w:t> </w:t>
      </w:r>
      <w:r>
        <w:rPr/>
        <w:t>EV</w:t>
      </w:r>
      <w:r>
        <w:rPr>
          <w:spacing w:val="-12"/>
        </w:rPr>
        <w:t> </w:t>
      </w:r>
      <w:r>
        <w:rPr/>
        <w:t>según</w:t>
      </w:r>
      <w:r>
        <w:rPr>
          <w:spacing w:val="-10"/>
        </w:rPr>
        <w:t> </w:t>
      </w:r>
      <w:r>
        <w:rPr/>
        <w:t>el</w:t>
      </w:r>
      <w:r>
        <w:rPr>
          <w:spacing w:val="-9"/>
        </w:rPr>
        <w:t> </w:t>
      </w:r>
      <w:r>
        <w:rPr/>
        <w:t>estudio</w:t>
      </w:r>
      <w:r>
        <w:rPr>
          <w:spacing w:val="-10"/>
        </w:rPr>
        <w:t> </w:t>
      </w:r>
      <w:r>
        <w:rPr/>
        <w:t>analizado,</w:t>
      </w:r>
      <w:r>
        <w:rPr>
          <w:spacing w:val="-9"/>
        </w:rPr>
        <w:t> </w:t>
      </w:r>
      <w:r>
        <w:rPr/>
        <w:t>parece</w:t>
      </w:r>
      <w:r>
        <w:rPr>
          <w:spacing w:val="-10"/>
        </w:rPr>
        <w:t> </w:t>
      </w:r>
      <w:r>
        <w:rPr/>
        <w:t>estar asociado con un efecto ahorrador de opioides y a una menor incidencia</w:t>
      </w:r>
      <w:r>
        <w:rPr>
          <w:spacing w:val="-12"/>
        </w:rPr>
        <w:t> </w:t>
      </w:r>
      <w:r>
        <w:rPr/>
        <w:t>de</w:t>
      </w:r>
      <w:r>
        <w:rPr>
          <w:spacing w:val="-11"/>
        </w:rPr>
        <w:t> </w:t>
      </w:r>
      <w:r>
        <w:rPr/>
        <w:t>eventos</w:t>
      </w:r>
      <w:r>
        <w:rPr>
          <w:spacing w:val="-11"/>
        </w:rPr>
        <w:t> </w:t>
      </w:r>
      <w:r>
        <w:rPr/>
        <w:t>adversos</w:t>
      </w:r>
      <w:r>
        <w:rPr>
          <w:spacing w:val="-11"/>
        </w:rPr>
        <w:t> </w:t>
      </w:r>
      <w:r>
        <w:rPr/>
        <w:t>en</w:t>
      </w:r>
      <w:r>
        <w:rPr>
          <w:spacing w:val="-11"/>
        </w:rPr>
        <w:t> </w:t>
      </w:r>
      <w:r>
        <w:rPr/>
        <w:t>cirugías</w:t>
      </w:r>
      <w:r>
        <w:rPr>
          <w:spacing w:val="-11"/>
        </w:rPr>
        <w:t> </w:t>
      </w:r>
      <w:r>
        <w:rPr/>
        <w:t>abdominales</w:t>
      </w:r>
      <w:r>
        <w:rPr>
          <w:spacing w:val="-12"/>
        </w:rPr>
        <w:t> </w:t>
      </w:r>
      <w:r>
        <w:rPr/>
        <w:t>(33).</w:t>
      </w:r>
    </w:p>
    <w:p>
      <w:pPr>
        <w:pStyle w:val="BodyText"/>
        <w:spacing w:line="225" w:lineRule="auto" w:before="4"/>
        <w:ind w:left="113" w:right="44"/>
        <w:jc w:val="both"/>
      </w:pPr>
      <w:r>
        <w:rPr/>
        <w:t>Dosis similares de KET EV (0,1–0,15 mg/kg), en pacientes sometidos a cirugía ortopédica, han reportado reducir </w:t>
      </w:r>
      <w:r>
        <w:rPr>
          <w:spacing w:val="-2"/>
        </w:rPr>
        <w:t>las </w:t>
      </w:r>
      <w:r>
        <w:rPr/>
        <w:t>necesidades</w:t>
      </w:r>
      <w:r>
        <w:rPr>
          <w:spacing w:val="-18"/>
        </w:rPr>
        <w:t> </w:t>
      </w:r>
      <w:r>
        <w:rPr/>
        <w:t>de</w:t>
      </w:r>
      <w:r>
        <w:rPr>
          <w:spacing w:val="-17"/>
        </w:rPr>
        <w:t> </w:t>
      </w:r>
      <w:r>
        <w:rPr/>
        <w:t>opiáceos</w:t>
      </w:r>
      <w:r>
        <w:rPr>
          <w:spacing w:val="-17"/>
        </w:rPr>
        <w:t> </w:t>
      </w:r>
      <w:r>
        <w:rPr/>
        <w:t>y</w:t>
      </w:r>
      <w:r>
        <w:rPr>
          <w:spacing w:val="-17"/>
        </w:rPr>
        <w:t> </w:t>
      </w:r>
      <w:r>
        <w:rPr/>
        <w:t>sus</w:t>
      </w:r>
      <w:r>
        <w:rPr>
          <w:spacing w:val="-17"/>
        </w:rPr>
        <w:t> </w:t>
      </w:r>
      <w:r>
        <w:rPr/>
        <w:t>eventuales</w:t>
      </w:r>
      <w:r>
        <w:rPr>
          <w:spacing w:val="-17"/>
        </w:rPr>
        <w:t> </w:t>
      </w:r>
      <w:r>
        <w:rPr/>
        <w:t>efectos</w:t>
      </w:r>
      <w:r>
        <w:rPr>
          <w:spacing w:val="-17"/>
        </w:rPr>
        <w:t> </w:t>
      </w:r>
      <w:r>
        <w:rPr/>
        <w:t>adversos</w:t>
      </w:r>
      <w:r>
        <w:rPr>
          <w:spacing w:val="-17"/>
        </w:rPr>
        <w:t> </w:t>
      </w:r>
      <w:r>
        <w:rPr/>
        <w:t>luego de cirugía ortopédica, sin aumentar la incidencia de efectos secundarios</w:t>
      </w:r>
      <w:r>
        <w:rPr>
          <w:spacing w:val="-5"/>
        </w:rPr>
        <w:t> </w:t>
      </w:r>
      <w:r>
        <w:rPr/>
        <w:t>(20-26).</w:t>
      </w:r>
    </w:p>
    <w:p>
      <w:pPr>
        <w:pStyle w:val="BodyText"/>
        <w:spacing w:line="225" w:lineRule="auto" w:before="2"/>
        <w:ind w:left="113" w:right="38"/>
        <w:jc w:val="both"/>
      </w:pPr>
      <w:r>
        <w:rPr/>
        <w:t>La KET en el </w:t>
      </w:r>
      <w:r>
        <w:rPr>
          <w:spacing w:val="2"/>
        </w:rPr>
        <w:t>manejo </w:t>
      </w:r>
      <w:r>
        <w:rPr/>
        <w:t>del </w:t>
      </w:r>
      <w:r>
        <w:rPr>
          <w:spacing w:val="2"/>
        </w:rPr>
        <w:t>DAPO </w:t>
      </w:r>
      <w:r>
        <w:rPr/>
        <w:t>en </w:t>
      </w:r>
      <w:r>
        <w:rPr>
          <w:spacing w:val="2"/>
        </w:rPr>
        <w:t>pacientes críticos </w:t>
      </w:r>
      <w:r>
        <w:rPr>
          <w:spacing w:val="3"/>
        </w:rPr>
        <w:t>que </w:t>
      </w:r>
      <w:r>
        <w:rPr>
          <w:spacing w:val="2"/>
        </w:rPr>
        <w:t>ingresan </w:t>
      </w:r>
      <w:r>
        <w:rPr/>
        <w:t>a UCI surge </w:t>
      </w:r>
      <w:r>
        <w:rPr>
          <w:spacing w:val="2"/>
        </w:rPr>
        <w:t>como </w:t>
      </w:r>
      <w:r>
        <w:rPr/>
        <w:t>una </w:t>
      </w:r>
      <w:r>
        <w:rPr>
          <w:spacing w:val="2"/>
        </w:rPr>
        <w:t>alternativa interesante. </w:t>
      </w:r>
      <w:r>
        <w:rPr>
          <w:spacing w:val="3"/>
        </w:rPr>
        <w:t>Hay </w:t>
      </w:r>
      <w:r>
        <w:rPr>
          <w:spacing w:val="2"/>
        </w:rPr>
        <w:t>muchos factores </w:t>
      </w:r>
      <w:r>
        <w:rPr/>
        <w:t>que </w:t>
      </w:r>
      <w:r>
        <w:rPr>
          <w:spacing w:val="2"/>
        </w:rPr>
        <w:t>pueden explicar este efecto beneficioso observado </w:t>
      </w:r>
      <w:r>
        <w:rPr/>
        <w:t>con la KET </w:t>
      </w:r>
      <w:r>
        <w:rPr>
          <w:spacing w:val="2"/>
        </w:rPr>
        <w:t>sobre estos pacientes como, </w:t>
      </w:r>
      <w:r>
        <w:rPr>
          <w:spacing w:val="3"/>
        </w:rPr>
        <w:t>estadías </w:t>
      </w:r>
      <w:r>
        <w:rPr>
          <w:spacing w:val="2"/>
        </w:rPr>
        <w:t>prolongadas </w:t>
      </w:r>
      <w:r>
        <w:rPr/>
        <w:t>en </w:t>
      </w:r>
      <w:r>
        <w:rPr>
          <w:spacing w:val="2"/>
        </w:rPr>
        <w:t>UCI, </w:t>
      </w:r>
      <w:r>
        <w:rPr/>
        <w:t>los </w:t>
      </w:r>
      <w:r>
        <w:rPr>
          <w:spacing w:val="2"/>
        </w:rPr>
        <w:t>estímulos nocivos causados </w:t>
      </w:r>
      <w:r>
        <w:rPr/>
        <w:t>por </w:t>
      </w:r>
      <w:r>
        <w:rPr>
          <w:spacing w:val="3"/>
        </w:rPr>
        <w:t>la </w:t>
      </w:r>
      <w:r>
        <w:rPr>
          <w:spacing w:val="2"/>
        </w:rPr>
        <w:t>reacción </w:t>
      </w:r>
      <w:r>
        <w:rPr/>
        <w:t>de </w:t>
      </w:r>
      <w:r>
        <w:rPr>
          <w:spacing w:val="2"/>
        </w:rPr>
        <w:t>inflamación </w:t>
      </w:r>
      <w:r>
        <w:rPr/>
        <w:t>de los </w:t>
      </w:r>
      <w:r>
        <w:rPr>
          <w:spacing w:val="2"/>
        </w:rPr>
        <w:t>tejidos dañados </w:t>
      </w:r>
      <w:r>
        <w:rPr/>
        <w:t>y </w:t>
      </w:r>
      <w:r>
        <w:rPr>
          <w:spacing w:val="3"/>
        </w:rPr>
        <w:t>también </w:t>
      </w:r>
      <w:r>
        <w:rPr>
          <w:spacing w:val="2"/>
        </w:rPr>
        <w:t>creados </w:t>
      </w:r>
      <w:r>
        <w:rPr/>
        <w:t>por el </w:t>
      </w:r>
      <w:r>
        <w:rPr>
          <w:spacing w:val="2"/>
        </w:rPr>
        <w:t>entorno </w:t>
      </w:r>
      <w:r>
        <w:rPr/>
        <w:t>de </w:t>
      </w:r>
      <w:r>
        <w:rPr>
          <w:spacing w:val="2"/>
        </w:rPr>
        <w:t>monitorización, </w:t>
      </w:r>
      <w:r>
        <w:rPr>
          <w:spacing w:val="3"/>
        </w:rPr>
        <w:t>dispositivos </w:t>
      </w:r>
      <w:r>
        <w:rPr>
          <w:spacing w:val="2"/>
        </w:rPr>
        <w:t>terapéuticos </w:t>
      </w:r>
      <w:r>
        <w:rPr/>
        <w:t>y </w:t>
      </w:r>
      <w:r>
        <w:rPr>
          <w:spacing w:val="2"/>
        </w:rPr>
        <w:t>cuidados </w:t>
      </w:r>
      <w:r>
        <w:rPr/>
        <w:t>de </w:t>
      </w:r>
      <w:r>
        <w:rPr>
          <w:spacing w:val="2"/>
        </w:rPr>
        <w:t>enfermería.  </w:t>
      </w:r>
      <w:r>
        <w:rPr/>
        <w:t>La  PCA  IV  </w:t>
      </w:r>
      <w:r>
        <w:rPr>
          <w:spacing w:val="3"/>
        </w:rPr>
        <w:t>con</w:t>
      </w:r>
      <w:r>
        <w:rPr>
          <w:spacing w:val="51"/>
        </w:rPr>
        <w:t> </w:t>
      </w:r>
      <w:r>
        <w:rPr/>
        <w:t>M+ es </w:t>
      </w:r>
      <w:r>
        <w:rPr>
          <w:spacing w:val="2"/>
        </w:rPr>
        <w:t>fundamental </w:t>
      </w:r>
      <w:r>
        <w:rPr/>
        <w:t>en </w:t>
      </w:r>
      <w:r>
        <w:rPr>
          <w:spacing w:val="2"/>
        </w:rPr>
        <w:t>estos pacientes, </w:t>
      </w:r>
      <w:r>
        <w:rPr/>
        <w:t>sin </w:t>
      </w:r>
      <w:r>
        <w:rPr>
          <w:spacing w:val="2"/>
        </w:rPr>
        <w:t>embargo, </w:t>
      </w:r>
      <w:r>
        <w:rPr>
          <w:spacing w:val="3"/>
        </w:rPr>
        <w:t>la </w:t>
      </w:r>
      <w:r>
        <w:rPr>
          <w:spacing w:val="2"/>
        </w:rPr>
        <w:t>exposición prolongada </w:t>
      </w:r>
      <w:r>
        <w:rPr/>
        <w:t>a </w:t>
      </w:r>
      <w:r>
        <w:rPr>
          <w:spacing w:val="2"/>
        </w:rPr>
        <w:t>grandes dosis </w:t>
      </w:r>
      <w:r>
        <w:rPr/>
        <w:t>de </w:t>
      </w:r>
      <w:r>
        <w:rPr>
          <w:spacing w:val="2"/>
        </w:rPr>
        <w:t>opioides </w:t>
      </w:r>
      <w:r>
        <w:rPr>
          <w:spacing w:val="3"/>
        </w:rPr>
        <w:t>tiene </w:t>
      </w:r>
      <w:r>
        <w:rPr>
          <w:spacing w:val="2"/>
        </w:rPr>
        <w:t>efectos secundarios. </w:t>
      </w:r>
      <w:r>
        <w:rPr/>
        <w:t>En </w:t>
      </w:r>
      <w:r>
        <w:rPr>
          <w:spacing w:val="2"/>
        </w:rPr>
        <w:t>este contexto, </w:t>
      </w:r>
      <w:r>
        <w:rPr/>
        <w:t>la </w:t>
      </w:r>
      <w:r>
        <w:rPr>
          <w:spacing w:val="3"/>
        </w:rPr>
        <w:t>sensibilización </w:t>
      </w:r>
      <w:r>
        <w:rPr>
          <w:spacing w:val="2"/>
        </w:rPr>
        <w:t>central </w:t>
      </w:r>
      <w:r>
        <w:rPr/>
        <w:t>al </w:t>
      </w:r>
      <w:r>
        <w:rPr>
          <w:spacing w:val="2"/>
        </w:rPr>
        <w:t>dolor puede tener lugar </w:t>
      </w:r>
      <w:r>
        <w:rPr/>
        <w:t>a </w:t>
      </w:r>
      <w:r>
        <w:rPr>
          <w:spacing w:val="2"/>
        </w:rPr>
        <w:t>pesar </w:t>
      </w:r>
      <w:r>
        <w:rPr/>
        <w:t>del uso de </w:t>
      </w:r>
      <w:r>
        <w:rPr>
          <w:spacing w:val="3"/>
        </w:rPr>
        <w:t>dosis </w:t>
      </w:r>
      <w:r>
        <w:rPr>
          <w:spacing w:val="2"/>
        </w:rPr>
        <w:t>adecuadas </w:t>
      </w:r>
      <w:r>
        <w:rPr/>
        <w:t>de </w:t>
      </w:r>
      <w:r>
        <w:rPr>
          <w:spacing w:val="2"/>
        </w:rPr>
        <w:t>opioides. </w:t>
      </w:r>
      <w:r>
        <w:rPr/>
        <w:t>La </w:t>
      </w:r>
      <w:r>
        <w:rPr>
          <w:spacing w:val="2"/>
        </w:rPr>
        <w:t>activación </w:t>
      </w:r>
      <w:r>
        <w:rPr/>
        <w:t>de los </w:t>
      </w:r>
      <w:r>
        <w:rPr>
          <w:spacing w:val="3"/>
        </w:rPr>
        <w:t>receptores </w:t>
      </w:r>
      <w:r>
        <w:rPr>
          <w:spacing w:val="2"/>
        </w:rPr>
        <w:t>NMDA, marcados </w:t>
      </w:r>
      <w:r>
        <w:rPr/>
        <w:t>por  el  </w:t>
      </w:r>
      <w:r>
        <w:rPr>
          <w:spacing w:val="2"/>
        </w:rPr>
        <w:t>desarrollo  </w:t>
      </w:r>
      <w:r>
        <w:rPr/>
        <w:t>de  la  </w:t>
      </w:r>
      <w:r>
        <w:rPr>
          <w:spacing w:val="2"/>
        </w:rPr>
        <w:t>hiperalgesia  </w:t>
      </w:r>
      <w:r>
        <w:rPr/>
        <w:t>y  la </w:t>
      </w:r>
      <w:r>
        <w:rPr>
          <w:spacing w:val="2"/>
        </w:rPr>
        <w:t>alodinia, sería fundamental </w:t>
      </w:r>
      <w:r>
        <w:rPr/>
        <w:t>en </w:t>
      </w:r>
      <w:r>
        <w:rPr>
          <w:spacing w:val="2"/>
        </w:rPr>
        <w:t>esta evolución. </w:t>
      </w:r>
      <w:r>
        <w:rPr/>
        <w:t>En </w:t>
      </w:r>
      <w:r>
        <w:rPr>
          <w:spacing w:val="3"/>
        </w:rPr>
        <w:t>este </w:t>
      </w:r>
      <w:r>
        <w:rPr>
          <w:spacing w:val="2"/>
        </w:rPr>
        <w:t>contexto, </w:t>
      </w:r>
      <w:r>
        <w:rPr/>
        <w:t>la KET, el más </w:t>
      </w:r>
      <w:r>
        <w:rPr>
          <w:spacing w:val="2"/>
        </w:rPr>
        <w:t>potente inhibidor </w:t>
      </w:r>
      <w:r>
        <w:rPr/>
        <w:t>del </w:t>
      </w:r>
      <w:r>
        <w:rPr>
          <w:spacing w:val="3"/>
        </w:rPr>
        <w:t>receptor </w:t>
      </w:r>
      <w:r>
        <w:rPr>
          <w:spacing w:val="2"/>
        </w:rPr>
        <w:t>NMDA, puede </w:t>
      </w:r>
      <w:r>
        <w:rPr/>
        <w:t>ser una </w:t>
      </w:r>
      <w:r>
        <w:rPr>
          <w:spacing w:val="2"/>
        </w:rPr>
        <w:t>valiosa estrategia para </w:t>
      </w:r>
      <w:r>
        <w:rPr/>
        <w:t>el </w:t>
      </w:r>
      <w:r>
        <w:rPr>
          <w:spacing w:val="2"/>
        </w:rPr>
        <w:t>manejo </w:t>
      </w:r>
      <w:r>
        <w:rPr>
          <w:spacing w:val="3"/>
        </w:rPr>
        <w:t>del </w:t>
      </w:r>
      <w:r>
        <w:rPr>
          <w:spacing w:val="2"/>
        </w:rPr>
        <w:t>DAPO </w:t>
      </w:r>
      <w:r>
        <w:rPr/>
        <w:t>en </w:t>
      </w:r>
      <w:r>
        <w:rPr>
          <w:spacing w:val="2"/>
        </w:rPr>
        <w:t>pacientes </w:t>
      </w:r>
      <w:r>
        <w:rPr/>
        <w:t>UCI a </w:t>
      </w:r>
      <w:r>
        <w:rPr>
          <w:spacing w:val="2"/>
        </w:rPr>
        <w:t>dosis </w:t>
      </w:r>
      <w:r>
        <w:rPr/>
        <w:t>de </w:t>
      </w:r>
      <w:r>
        <w:rPr>
          <w:spacing w:val="2"/>
        </w:rPr>
        <w:t>0,5mg/kg </w:t>
      </w:r>
      <w:r>
        <w:rPr/>
        <w:t>EV</w:t>
      </w:r>
      <w:r>
        <w:rPr>
          <w:spacing w:val="16"/>
        </w:rPr>
        <w:t> </w:t>
      </w:r>
      <w:r>
        <w:rPr>
          <w:spacing w:val="3"/>
        </w:rPr>
        <w:t>seguidas</w:t>
      </w:r>
    </w:p>
    <w:p>
      <w:pPr>
        <w:pStyle w:val="BodyText"/>
        <w:spacing w:line="201" w:lineRule="exact" w:before="92"/>
        <w:ind w:left="113"/>
        <w:jc w:val="both"/>
      </w:pPr>
      <w:r>
        <w:rPr/>
        <w:br w:type="column"/>
      </w:r>
      <w:r>
        <w:rPr/>
        <w:t>de infusiones continuas durante 24 a 48 horas (2ug/kg/min)</w:t>
      </w:r>
    </w:p>
    <w:p>
      <w:pPr>
        <w:pStyle w:val="BodyText"/>
        <w:spacing w:line="195" w:lineRule="exact"/>
        <w:ind w:left="113"/>
        <w:jc w:val="both"/>
      </w:pPr>
      <w:r>
        <w:rPr/>
        <w:t>como adyuvante al uso de M+.</w:t>
      </w:r>
    </w:p>
    <w:p>
      <w:pPr>
        <w:pStyle w:val="BodyText"/>
        <w:spacing w:line="225" w:lineRule="auto" w:before="4"/>
        <w:ind w:left="113" w:right="105"/>
        <w:jc w:val="both"/>
      </w:pPr>
      <w:r>
        <w:rPr/>
        <w:t>La </w:t>
      </w:r>
      <w:r>
        <w:rPr>
          <w:spacing w:val="2"/>
        </w:rPr>
        <w:t>mayor parte </w:t>
      </w:r>
      <w:r>
        <w:rPr/>
        <w:t>de la </w:t>
      </w:r>
      <w:r>
        <w:rPr>
          <w:spacing w:val="2"/>
        </w:rPr>
        <w:t>evidencia  disponible  </w:t>
      </w:r>
      <w:r>
        <w:rPr>
          <w:spacing w:val="3"/>
        </w:rPr>
        <w:t>actualmente </w:t>
      </w:r>
      <w:r>
        <w:rPr>
          <w:spacing w:val="2"/>
        </w:rPr>
        <w:t>avala </w:t>
      </w:r>
      <w:r>
        <w:rPr/>
        <w:t>el </w:t>
      </w:r>
      <w:r>
        <w:rPr>
          <w:spacing w:val="2"/>
        </w:rPr>
        <w:t>empleo </w:t>
      </w:r>
      <w:r>
        <w:rPr/>
        <w:t>de KET </w:t>
      </w:r>
      <w:r>
        <w:rPr>
          <w:spacing w:val="2"/>
        </w:rPr>
        <w:t>como analgésico </w:t>
      </w:r>
      <w:r>
        <w:rPr/>
        <w:t>de </w:t>
      </w:r>
      <w:r>
        <w:rPr>
          <w:spacing w:val="2"/>
        </w:rPr>
        <w:t>rescate </w:t>
      </w:r>
      <w:r>
        <w:rPr/>
        <w:t>a </w:t>
      </w:r>
      <w:r>
        <w:rPr>
          <w:spacing w:val="3"/>
        </w:rPr>
        <w:t>dosis </w:t>
      </w:r>
      <w:r>
        <w:rPr>
          <w:spacing w:val="2"/>
        </w:rPr>
        <w:t>subanestésicas. </w:t>
      </w:r>
      <w:r>
        <w:rPr/>
        <w:t>La </w:t>
      </w:r>
      <w:r>
        <w:rPr>
          <w:spacing w:val="2"/>
        </w:rPr>
        <w:t>dosis </w:t>
      </w:r>
      <w:r>
        <w:rPr/>
        <w:t>a </w:t>
      </w:r>
      <w:r>
        <w:rPr>
          <w:spacing w:val="2"/>
        </w:rPr>
        <w:t>utilizar </w:t>
      </w:r>
      <w:r>
        <w:rPr/>
        <w:t>es </w:t>
      </w:r>
      <w:r>
        <w:rPr>
          <w:spacing w:val="2"/>
        </w:rPr>
        <w:t>tema </w:t>
      </w:r>
      <w:r>
        <w:rPr/>
        <w:t>de </w:t>
      </w:r>
      <w:r>
        <w:rPr>
          <w:spacing w:val="2"/>
        </w:rPr>
        <w:t>discusión, </w:t>
      </w:r>
      <w:r>
        <w:rPr>
          <w:spacing w:val="3"/>
        </w:rPr>
        <w:t>sin </w:t>
      </w:r>
      <w:r>
        <w:rPr>
          <w:spacing w:val="2"/>
        </w:rPr>
        <w:t>embargo, </w:t>
      </w:r>
      <w:r>
        <w:rPr/>
        <w:t>los </w:t>
      </w:r>
      <w:r>
        <w:rPr>
          <w:spacing w:val="2"/>
        </w:rPr>
        <w:t>diversos autores utilizaron dosis </w:t>
      </w:r>
      <w:r>
        <w:rPr/>
        <w:t>que </w:t>
      </w:r>
      <w:r>
        <w:rPr>
          <w:spacing w:val="3"/>
        </w:rPr>
        <w:t>oscilan </w:t>
      </w:r>
      <w:r>
        <w:rPr>
          <w:spacing w:val="2"/>
        </w:rPr>
        <w:t>entre </w:t>
      </w:r>
      <w:r>
        <w:rPr/>
        <w:t>0,1 a 0,5  </w:t>
      </w:r>
      <w:r>
        <w:rPr>
          <w:spacing w:val="2"/>
        </w:rPr>
        <w:t>mg/kg como dosis única </w:t>
      </w:r>
      <w:r>
        <w:rPr/>
        <w:t>EV </w:t>
      </w:r>
      <w:r>
        <w:rPr>
          <w:spacing w:val="3"/>
        </w:rPr>
        <w:t>administrada,</w:t>
      </w:r>
      <w:r>
        <w:rPr>
          <w:spacing w:val="51"/>
        </w:rPr>
        <w:t> </w:t>
      </w:r>
      <w:r>
        <w:rPr/>
        <w:t>ya sea </w:t>
      </w:r>
      <w:r>
        <w:rPr>
          <w:spacing w:val="2"/>
        </w:rPr>
        <w:t>durante </w:t>
      </w:r>
      <w:r>
        <w:rPr/>
        <w:t>la </w:t>
      </w:r>
      <w:r>
        <w:rPr>
          <w:spacing w:val="2"/>
        </w:rPr>
        <w:t>inducción anestésica, como también </w:t>
      </w:r>
      <w:r>
        <w:rPr/>
        <w:t>en </w:t>
      </w:r>
      <w:r>
        <w:rPr>
          <w:spacing w:val="3"/>
        </w:rPr>
        <w:t>el </w:t>
      </w:r>
      <w:r>
        <w:rPr>
          <w:spacing w:val="2"/>
        </w:rPr>
        <w:t>postoperatorio inmediato, </w:t>
      </w:r>
      <w:r>
        <w:rPr/>
        <w:t>sin </w:t>
      </w:r>
      <w:r>
        <w:rPr>
          <w:spacing w:val="2"/>
        </w:rPr>
        <w:t>haber </w:t>
      </w:r>
      <w:r>
        <w:rPr/>
        <w:t>una </w:t>
      </w:r>
      <w:r>
        <w:rPr>
          <w:spacing w:val="2"/>
        </w:rPr>
        <w:t>clara diferencia </w:t>
      </w:r>
      <w:r>
        <w:rPr>
          <w:spacing w:val="3"/>
        </w:rPr>
        <w:t>en </w:t>
      </w:r>
      <w:r>
        <w:rPr>
          <w:spacing w:val="2"/>
        </w:rPr>
        <w:t>cuanto </w:t>
      </w:r>
      <w:r>
        <w:rPr/>
        <w:t>al </w:t>
      </w:r>
      <w:r>
        <w:rPr>
          <w:spacing w:val="2"/>
        </w:rPr>
        <w:t>momento </w:t>
      </w:r>
      <w:r>
        <w:rPr/>
        <w:t>en que </w:t>
      </w:r>
      <w:r>
        <w:rPr>
          <w:spacing w:val="2"/>
        </w:rPr>
        <w:t>ésta debería administrarse </w:t>
      </w:r>
      <w:r>
        <w:rPr>
          <w:spacing w:val="3"/>
        </w:rPr>
        <w:t>para </w:t>
      </w:r>
      <w:r>
        <w:rPr>
          <w:spacing w:val="2"/>
        </w:rPr>
        <w:t>obtener </w:t>
      </w:r>
      <w:r>
        <w:rPr/>
        <w:t>los </w:t>
      </w:r>
      <w:r>
        <w:rPr>
          <w:spacing w:val="2"/>
        </w:rPr>
        <w:t>mejores resultados. </w:t>
      </w:r>
      <w:r>
        <w:rPr/>
        <w:t>Se </w:t>
      </w:r>
      <w:r>
        <w:rPr>
          <w:spacing w:val="2"/>
        </w:rPr>
        <w:t>hace necesario </w:t>
      </w:r>
      <w:r>
        <w:rPr>
          <w:spacing w:val="3"/>
        </w:rPr>
        <w:t>considerar </w:t>
      </w:r>
      <w:r>
        <w:rPr/>
        <w:t>el uso de </w:t>
      </w:r>
      <w:r>
        <w:rPr>
          <w:spacing w:val="2"/>
        </w:rPr>
        <w:t>infusiones continuas </w:t>
      </w:r>
      <w:r>
        <w:rPr/>
        <w:t>de KET, </w:t>
      </w:r>
      <w:r>
        <w:rPr>
          <w:spacing w:val="2"/>
        </w:rPr>
        <w:t>posterior </w:t>
      </w:r>
      <w:r>
        <w:rPr/>
        <w:t>a </w:t>
      </w:r>
      <w:r>
        <w:rPr>
          <w:spacing w:val="3"/>
        </w:rPr>
        <w:t>su </w:t>
      </w:r>
      <w:r>
        <w:rPr>
          <w:spacing w:val="2"/>
        </w:rPr>
        <w:t>administración </w:t>
      </w:r>
      <w:r>
        <w:rPr/>
        <w:t>en </w:t>
      </w:r>
      <w:r>
        <w:rPr>
          <w:spacing w:val="2"/>
        </w:rPr>
        <w:t>bolo </w:t>
      </w:r>
      <w:r>
        <w:rPr/>
        <w:t>EV con el </w:t>
      </w:r>
      <w:r>
        <w:rPr>
          <w:spacing w:val="2"/>
        </w:rPr>
        <w:t>objetivo </w:t>
      </w:r>
      <w:r>
        <w:rPr/>
        <w:t>de </w:t>
      </w:r>
      <w:r>
        <w:rPr>
          <w:spacing w:val="2"/>
        </w:rPr>
        <w:t>prolongar </w:t>
      </w:r>
      <w:r>
        <w:rPr>
          <w:spacing w:val="3"/>
        </w:rPr>
        <w:t>su </w:t>
      </w:r>
      <w:r>
        <w:rPr>
          <w:spacing w:val="2"/>
        </w:rPr>
        <w:t>efecto durante </w:t>
      </w:r>
      <w:r>
        <w:rPr/>
        <w:t>las </w:t>
      </w:r>
      <w:r>
        <w:rPr>
          <w:spacing w:val="2"/>
        </w:rPr>
        <w:t>primeras </w:t>
      </w:r>
      <w:r>
        <w:rPr/>
        <w:t>24 a 48 </w:t>
      </w:r>
      <w:r>
        <w:rPr>
          <w:spacing w:val="2"/>
        </w:rPr>
        <w:t>horas </w:t>
      </w:r>
      <w:r>
        <w:rPr>
          <w:spacing w:val="-5"/>
        </w:rPr>
        <w:t>y, </w:t>
      </w:r>
      <w:r>
        <w:rPr/>
        <w:t>de </w:t>
      </w:r>
      <w:r>
        <w:rPr>
          <w:spacing w:val="2"/>
        </w:rPr>
        <w:t>esta </w:t>
      </w:r>
      <w:r>
        <w:rPr>
          <w:spacing w:val="3"/>
        </w:rPr>
        <w:t>manera, </w:t>
      </w:r>
      <w:r>
        <w:rPr>
          <w:spacing w:val="2"/>
        </w:rPr>
        <w:t>reducir efectivamente </w:t>
      </w:r>
      <w:r>
        <w:rPr/>
        <w:t>el </w:t>
      </w:r>
      <w:r>
        <w:rPr>
          <w:spacing w:val="2"/>
        </w:rPr>
        <w:t>consumo acumulado </w:t>
      </w:r>
      <w:r>
        <w:rPr/>
        <w:t>de M+  </w:t>
      </w:r>
      <w:r>
        <w:rPr>
          <w:spacing w:val="-6"/>
        </w:rPr>
        <w:t>EV. </w:t>
      </w:r>
      <w:r>
        <w:rPr/>
        <w:t>Los </w:t>
      </w:r>
      <w:r>
        <w:rPr>
          <w:spacing w:val="2"/>
        </w:rPr>
        <w:t>pacientes mayormente beneficiados serían </w:t>
      </w:r>
      <w:r>
        <w:rPr>
          <w:spacing w:val="3"/>
        </w:rPr>
        <w:t>aquéllos </w:t>
      </w:r>
      <w:r>
        <w:rPr>
          <w:spacing w:val="2"/>
        </w:rPr>
        <w:t>sometidos </w:t>
      </w:r>
      <w:r>
        <w:rPr/>
        <w:t>a </w:t>
      </w:r>
      <w:r>
        <w:rPr>
          <w:spacing w:val="2"/>
        </w:rPr>
        <w:t>cirugías abdominales mínimamente </w:t>
      </w:r>
      <w:r>
        <w:rPr>
          <w:spacing w:val="3"/>
        </w:rPr>
        <w:t>invasivas </w:t>
      </w:r>
      <w:r>
        <w:rPr>
          <w:spacing w:val="2"/>
        </w:rPr>
        <w:t>(cirugías laparoscópicas); </w:t>
      </w:r>
      <w:r>
        <w:rPr/>
        <w:t>así </w:t>
      </w:r>
      <w:r>
        <w:rPr>
          <w:spacing w:val="2"/>
        </w:rPr>
        <w:t>como también, </w:t>
      </w:r>
      <w:r>
        <w:rPr/>
        <w:t>los </w:t>
      </w:r>
      <w:r>
        <w:rPr>
          <w:spacing w:val="3"/>
        </w:rPr>
        <w:t>pacientes </w:t>
      </w:r>
      <w:r>
        <w:rPr>
          <w:spacing w:val="2"/>
        </w:rPr>
        <w:t>sometidos</w:t>
      </w:r>
      <w:r>
        <w:rPr>
          <w:spacing w:val="-6"/>
        </w:rPr>
        <w:t> </w:t>
      </w:r>
      <w:r>
        <w:rPr/>
        <w:t>a</w:t>
      </w:r>
      <w:r>
        <w:rPr>
          <w:spacing w:val="-6"/>
        </w:rPr>
        <w:t> </w:t>
      </w:r>
      <w:r>
        <w:rPr>
          <w:spacing w:val="2"/>
        </w:rPr>
        <w:t>toracotomías</w:t>
      </w:r>
      <w:r>
        <w:rPr>
          <w:spacing w:val="-5"/>
        </w:rPr>
        <w:t> </w:t>
      </w:r>
      <w:r>
        <w:rPr/>
        <w:t>y</w:t>
      </w:r>
      <w:r>
        <w:rPr>
          <w:spacing w:val="-6"/>
        </w:rPr>
        <w:t> </w:t>
      </w:r>
      <w:r>
        <w:rPr>
          <w:spacing w:val="2"/>
        </w:rPr>
        <w:t>aquellos</w:t>
      </w:r>
      <w:r>
        <w:rPr>
          <w:spacing w:val="-6"/>
        </w:rPr>
        <w:t> </w:t>
      </w:r>
      <w:r>
        <w:rPr>
          <w:spacing w:val="2"/>
        </w:rPr>
        <w:t>beneficiarios</w:t>
      </w:r>
      <w:r>
        <w:rPr>
          <w:spacing w:val="-5"/>
        </w:rPr>
        <w:t> </w:t>
      </w:r>
      <w:r>
        <w:rPr/>
        <w:t>de</w:t>
      </w:r>
      <w:r>
        <w:rPr>
          <w:spacing w:val="-6"/>
        </w:rPr>
        <w:t> </w:t>
      </w:r>
      <w:r>
        <w:rPr>
          <w:spacing w:val="3"/>
        </w:rPr>
        <w:t>cirugías </w:t>
      </w:r>
      <w:r>
        <w:rPr>
          <w:spacing w:val="2"/>
        </w:rPr>
        <w:t>ortopédicas. </w:t>
      </w:r>
      <w:r>
        <w:rPr/>
        <w:t>La </w:t>
      </w:r>
      <w:r>
        <w:rPr>
          <w:spacing w:val="2"/>
        </w:rPr>
        <w:t>evidencia </w:t>
      </w:r>
      <w:r>
        <w:rPr/>
        <w:t>es  un  </w:t>
      </w:r>
      <w:r>
        <w:rPr>
          <w:spacing w:val="2"/>
        </w:rPr>
        <w:t>tanto  </w:t>
      </w:r>
      <w:r>
        <w:rPr/>
        <w:t>más  </w:t>
      </w:r>
      <w:r>
        <w:rPr>
          <w:spacing w:val="3"/>
        </w:rPr>
        <w:t>controversial, </w:t>
      </w:r>
      <w:r>
        <w:rPr/>
        <w:t>en </w:t>
      </w:r>
      <w:r>
        <w:rPr>
          <w:spacing w:val="2"/>
        </w:rPr>
        <w:t>relación </w:t>
      </w:r>
      <w:r>
        <w:rPr/>
        <w:t>a la </w:t>
      </w:r>
      <w:r>
        <w:rPr>
          <w:spacing w:val="2"/>
        </w:rPr>
        <w:t>utilidad </w:t>
      </w:r>
      <w:r>
        <w:rPr/>
        <w:t>de la KET en </w:t>
      </w:r>
      <w:r>
        <w:rPr>
          <w:spacing w:val="2"/>
        </w:rPr>
        <w:t>cirugía </w:t>
      </w:r>
      <w:r>
        <w:rPr>
          <w:spacing w:val="3"/>
        </w:rPr>
        <w:t>abdominal </w:t>
      </w:r>
      <w:r>
        <w:rPr/>
        <w:t>mayor. Los </w:t>
      </w:r>
      <w:r>
        <w:rPr>
          <w:spacing w:val="2"/>
        </w:rPr>
        <w:t>beneficios </w:t>
      </w:r>
      <w:r>
        <w:rPr/>
        <w:t>más </w:t>
      </w:r>
      <w:r>
        <w:rPr>
          <w:spacing w:val="2"/>
        </w:rPr>
        <w:t>importantes obtenidos </w:t>
      </w:r>
      <w:r>
        <w:rPr/>
        <w:t>con </w:t>
      </w:r>
      <w:r>
        <w:rPr>
          <w:spacing w:val="3"/>
        </w:rPr>
        <w:t>la </w:t>
      </w:r>
      <w:r>
        <w:rPr>
          <w:spacing w:val="2"/>
        </w:rPr>
        <w:t>administración</w:t>
      </w:r>
      <w:r>
        <w:rPr>
          <w:spacing w:val="-19"/>
        </w:rPr>
        <w:t> </w:t>
      </w:r>
      <w:r>
        <w:rPr/>
        <w:t>de</w:t>
      </w:r>
      <w:r>
        <w:rPr>
          <w:spacing w:val="-18"/>
        </w:rPr>
        <w:t> </w:t>
      </w:r>
      <w:r>
        <w:rPr/>
        <w:t>la</w:t>
      </w:r>
      <w:r>
        <w:rPr>
          <w:spacing w:val="-19"/>
        </w:rPr>
        <w:t> </w:t>
      </w:r>
      <w:r>
        <w:rPr/>
        <w:t>KET</w:t>
      </w:r>
      <w:r>
        <w:rPr>
          <w:spacing w:val="-22"/>
        </w:rPr>
        <w:t> </w:t>
      </w:r>
      <w:r>
        <w:rPr/>
        <w:t>a</w:t>
      </w:r>
      <w:r>
        <w:rPr>
          <w:spacing w:val="-18"/>
        </w:rPr>
        <w:t> </w:t>
      </w:r>
      <w:r>
        <w:rPr>
          <w:spacing w:val="2"/>
        </w:rPr>
        <w:t>nivel</w:t>
      </w:r>
      <w:r>
        <w:rPr>
          <w:spacing w:val="-19"/>
        </w:rPr>
        <w:t> </w:t>
      </w:r>
      <w:r>
        <w:rPr/>
        <w:t>del</w:t>
      </w:r>
      <w:r>
        <w:rPr>
          <w:spacing w:val="-18"/>
        </w:rPr>
        <w:t> </w:t>
      </w:r>
      <w:r>
        <w:rPr>
          <w:spacing w:val="2"/>
        </w:rPr>
        <w:t>manejo</w:t>
      </w:r>
      <w:r>
        <w:rPr>
          <w:spacing w:val="-18"/>
        </w:rPr>
        <w:t> </w:t>
      </w:r>
      <w:r>
        <w:rPr/>
        <w:t>del</w:t>
      </w:r>
      <w:r>
        <w:rPr>
          <w:spacing w:val="-19"/>
        </w:rPr>
        <w:t> </w:t>
      </w:r>
      <w:r>
        <w:rPr>
          <w:spacing w:val="2"/>
        </w:rPr>
        <w:t>DAPO,</w:t>
      </w:r>
      <w:r>
        <w:rPr>
          <w:spacing w:val="-18"/>
        </w:rPr>
        <w:t> </w:t>
      </w:r>
      <w:r>
        <w:rPr>
          <w:spacing w:val="3"/>
        </w:rPr>
        <w:t>estaría </w:t>
      </w:r>
      <w:r>
        <w:rPr/>
        <w:t>en </w:t>
      </w:r>
      <w:r>
        <w:rPr>
          <w:spacing w:val="2"/>
        </w:rPr>
        <w:t>directa relación </w:t>
      </w:r>
      <w:r>
        <w:rPr/>
        <w:t>con la </w:t>
      </w:r>
      <w:r>
        <w:rPr>
          <w:spacing w:val="2"/>
        </w:rPr>
        <w:t>disminución </w:t>
      </w:r>
      <w:r>
        <w:rPr/>
        <w:t>en los </w:t>
      </w:r>
      <w:r>
        <w:rPr>
          <w:spacing w:val="3"/>
        </w:rPr>
        <w:t>requerimientos </w:t>
      </w:r>
      <w:r>
        <w:rPr/>
        <w:t>de </w:t>
      </w:r>
      <w:r>
        <w:rPr>
          <w:spacing w:val="2"/>
        </w:rPr>
        <w:t>opiáceos, mayor estabilidad  hemodinámica,  </w:t>
      </w:r>
      <w:r>
        <w:rPr>
          <w:spacing w:val="3"/>
        </w:rPr>
        <w:t>mejor </w:t>
      </w:r>
      <w:r>
        <w:rPr>
          <w:spacing w:val="2"/>
        </w:rPr>
        <w:t>estado </w:t>
      </w:r>
      <w:r>
        <w:rPr/>
        <w:t>de </w:t>
      </w:r>
      <w:r>
        <w:rPr>
          <w:spacing w:val="2"/>
        </w:rPr>
        <w:t>vigilia, menor depresión respiratoria </w:t>
      </w:r>
      <w:r>
        <w:rPr/>
        <w:t>y al </w:t>
      </w:r>
      <w:r>
        <w:rPr>
          <w:spacing w:val="3"/>
        </w:rPr>
        <w:t>parecer </w:t>
      </w:r>
      <w:r>
        <w:rPr>
          <w:spacing w:val="2"/>
        </w:rPr>
        <w:t>menor incidencia </w:t>
      </w:r>
      <w:r>
        <w:rPr/>
        <w:t>de </w:t>
      </w:r>
      <w:r>
        <w:rPr>
          <w:spacing w:val="2"/>
        </w:rPr>
        <w:t>NVPO (derivados principalmente </w:t>
      </w:r>
      <w:r>
        <w:rPr>
          <w:spacing w:val="3"/>
        </w:rPr>
        <w:t>del </w:t>
      </w:r>
      <w:r>
        <w:rPr>
          <w:spacing w:val="2"/>
        </w:rPr>
        <w:t>menor consumo </w:t>
      </w:r>
      <w:r>
        <w:rPr/>
        <w:t>de  </w:t>
      </w:r>
      <w:r>
        <w:rPr>
          <w:spacing w:val="2"/>
        </w:rPr>
        <w:t>opiáceos), aunque para este último </w:t>
      </w:r>
      <w:r>
        <w:rPr>
          <w:spacing w:val="3"/>
        </w:rPr>
        <w:t>no</w:t>
      </w:r>
      <w:r>
        <w:rPr>
          <w:spacing w:val="51"/>
        </w:rPr>
        <w:t> </w:t>
      </w:r>
      <w:r>
        <w:rPr/>
        <w:t>se </w:t>
      </w:r>
      <w:r>
        <w:rPr>
          <w:spacing w:val="2"/>
        </w:rPr>
        <w:t>observaron diferencias significativas </w:t>
      </w:r>
      <w:r>
        <w:rPr/>
        <w:t>en </w:t>
      </w:r>
      <w:r>
        <w:rPr>
          <w:spacing w:val="2"/>
        </w:rPr>
        <w:t>relación </w:t>
      </w:r>
      <w:r>
        <w:rPr/>
        <w:t>al </w:t>
      </w:r>
      <w:r>
        <w:rPr>
          <w:spacing w:val="3"/>
        </w:rPr>
        <w:t>grupo </w:t>
      </w:r>
      <w:r>
        <w:rPr>
          <w:spacing w:val="2"/>
        </w:rPr>
        <w:t>control </w:t>
      </w:r>
      <w:r>
        <w:rPr/>
        <w:t>en la </w:t>
      </w:r>
      <w:r>
        <w:rPr>
          <w:spacing w:val="2"/>
        </w:rPr>
        <w:t>mayoría </w:t>
      </w:r>
      <w:r>
        <w:rPr/>
        <w:t>de los </w:t>
      </w:r>
      <w:r>
        <w:rPr>
          <w:spacing w:val="2"/>
        </w:rPr>
        <w:t>estudios. Importante </w:t>
      </w:r>
      <w:r>
        <w:rPr>
          <w:spacing w:val="3"/>
        </w:rPr>
        <w:t>mencionar </w:t>
      </w:r>
      <w:r>
        <w:rPr/>
        <w:t>que no se </w:t>
      </w:r>
      <w:r>
        <w:rPr>
          <w:spacing w:val="2"/>
        </w:rPr>
        <w:t>observaron efectos adversos asociados </w:t>
      </w:r>
      <w:r>
        <w:rPr/>
        <w:t>al uso </w:t>
      </w:r>
      <w:r>
        <w:rPr>
          <w:spacing w:val="3"/>
        </w:rPr>
        <w:t>de </w:t>
      </w:r>
      <w:r>
        <w:rPr/>
        <w:t>KET </w:t>
      </w:r>
      <w:r>
        <w:rPr>
          <w:spacing w:val="2"/>
        </w:rPr>
        <w:t>tales como alteraciones psíquicas, delirio, </w:t>
      </w:r>
      <w:r>
        <w:rPr>
          <w:spacing w:val="3"/>
        </w:rPr>
        <w:t>alteraciones </w:t>
      </w:r>
      <w:r>
        <w:rPr/>
        <w:t>del </w:t>
      </w:r>
      <w:r>
        <w:rPr>
          <w:spacing w:val="2"/>
        </w:rPr>
        <w:t>sueño </w:t>
      </w:r>
      <w:r>
        <w:rPr/>
        <w:t>y/o</w:t>
      </w:r>
      <w:r>
        <w:rPr>
          <w:spacing w:val="19"/>
        </w:rPr>
        <w:t> </w:t>
      </w:r>
      <w:r>
        <w:rPr>
          <w:spacing w:val="3"/>
        </w:rPr>
        <w:t>alucinaciones.</w:t>
      </w:r>
    </w:p>
    <w:p>
      <w:pPr>
        <w:pStyle w:val="BodyText"/>
        <w:spacing w:line="225" w:lineRule="auto" w:before="12"/>
        <w:ind w:left="113" w:right="103"/>
        <w:jc w:val="both"/>
      </w:pPr>
      <w:r>
        <w:rPr/>
        <w:t>Sin </w:t>
      </w:r>
      <w:r>
        <w:rPr>
          <w:spacing w:val="2"/>
        </w:rPr>
        <w:t>duda alguna, pese </w:t>
      </w:r>
      <w:r>
        <w:rPr/>
        <w:t>a que son </w:t>
      </w:r>
      <w:r>
        <w:rPr>
          <w:spacing w:val="2"/>
        </w:rPr>
        <w:t>numerosos </w:t>
      </w:r>
      <w:r>
        <w:rPr/>
        <w:t>los </w:t>
      </w:r>
      <w:r>
        <w:rPr>
          <w:spacing w:val="3"/>
        </w:rPr>
        <w:t>estudios </w:t>
      </w:r>
      <w:r>
        <w:rPr>
          <w:spacing w:val="2"/>
        </w:rPr>
        <w:t>aleatorizados,  controlados,  doble  ciego  </w:t>
      </w:r>
      <w:r>
        <w:rPr/>
        <w:t>que  han  </w:t>
      </w:r>
      <w:r>
        <w:rPr>
          <w:spacing w:val="3"/>
        </w:rPr>
        <w:t>puesto  </w:t>
      </w:r>
      <w:r>
        <w:rPr/>
        <w:t>de </w:t>
      </w:r>
      <w:r>
        <w:rPr>
          <w:spacing w:val="2"/>
        </w:rPr>
        <w:t>manifiesto </w:t>
      </w:r>
      <w:r>
        <w:rPr/>
        <w:t>su </w:t>
      </w:r>
      <w:r>
        <w:rPr>
          <w:spacing w:val="2"/>
        </w:rPr>
        <w:t>utilidad como ahorrador  </w:t>
      </w:r>
      <w:r>
        <w:rPr/>
        <w:t>de  </w:t>
      </w:r>
      <w:r>
        <w:rPr>
          <w:spacing w:val="3"/>
        </w:rPr>
        <w:t>opioides,  </w:t>
      </w:r>
      <w:r>
        <w:rPr>
          <w:spacing w:val="2"/>
        </w:rPr>
        <w:t>como co-analgésico </w:t>
      </w:r>
      <w:r>
        <w:rPr/>
        <w:t>en </w:t>
      </w:r>
      <w:r>
        <w:rPr>
          <w:spacing w:val="2"/>
        </w:rPr>
        <w:t>anestesia local  </w:t>
      </w:r>
      <w:r>
        <w:rPr/>
        <w:t>y  </w:t>
      </w:r>
      <w:r>
        <w:rPr>
          <w:spacing w:val="2"/>
        </w:rPr>
        <w:t>regional,  </w:t>
      </w:r>
      <w:r>
        <w:rPr>
          <w:spacing w:val="3"/>
        </w:rPr>
        <w:t>así</w:t>
      </w:r>
      <w:r>
        <w:rPr>
          <w:spacing w:val="51"/>
        </w:rPr>
        <w:t> </w:t>
      </w:r>
      <w:r>
        <w:rPr>
          <w:spacing w:val="2"/>
        </w:rPr>
        <w:t>como </w:t>
      </w:r>
      <w:r>
        <w:rPr/>
        <w:t>en el </w:t>
      </w:r>
      <w:r>
        <w:rPr>
          <w:spacing w:val="2"/>
        </w:rPr>
        <w:t>tratamiento preventivo </w:t>
      </w:r>
      <w:r>
        <w:rPr/>
        <w:t>de </w:t>
      </w:r>
      <w:r>
        <w:rPr>
          <w:spacing w:val="2"/>
        </w:rPr>
        <w:t>situaciones para </w:t>
      </w:r>
      <w:r>
        <w:rPr>
          <w:spacing w:val="3"/>
        </w:rPr>
        <w:t>el </w:t>
      </w:r>
      <w:r>
        <w:rPr>
          <w:spacing w:val="2"/>
        </w:rPr>
        <w:t>tratamiento </w:t>
      </w:r>
      <w:r>
        <w:rPr/>
        <w:t>del </w:t>
      </w:r>
      <w:r>
        <w:rPr>
          <w:spacing w:val="2"/>
        </w:rPr>
        <w:t>DAPO; </w:t>
      </w:r>
      <w:r>
        <w:rPr/>
        <w:t>los </w:t>
      </w:r>
      <w:r>
        <w:rPr>
          <w:spacing w:val="2"/>
        </w:rPr>
        <w:t>datos obtenidos </w:t>
      </w:r>
      <w:r>
        <w:rPr/>
        <w:t>no son del </w:t>
      </w:r>
      <w:r>
        <w:rPr>
          <w:spacing w:val="3"/>
        </w:rPr>
        <w:t>todo </w:t>
      </w:r>
      <w:r>
        <w:rPr>
          <w:spacing w:val="2"/>
        </w:rPr>
        <w:t>concluyentes </w:t>
      </w:r>
      <w:r>
        <w:rPr/>
        <w:t>en </w:t>
      </w:r>
      <w:r>
        <w:rPr>
          <w:spacing w:val="2"/>
        </w:rPr>
        <w:t>cuanto </w:t>
      </w:r>
      <w:r>
        <w:rPr/>
        <w:t>a </w:t>
      </w:r>
      <w:r>
        <w:rPr>
          <w:spacing w:val="2"/>
        </w:rPr>
        <w:t>eficacia </w:t>
      </w:r>
      <w:r>
        <w:rPr/>
        <w:t>y </w:t>
      </w:r>
      <w:r>
        <w:rPr>
          <w:spacing w:val="2"/>
        </w:rPr>
        <w:t>seguridad </w:t>
      </w:r>
      <w:r>
        <w:rPr/>
        <w:t>a largo </w:t>
      </w:r>
      <w:r>
        <w:rPr>
          <w:spacing w:val="3"/>
        </w:rPr>
        <w:t>plazo </w:t>
      </w:r>
      <w:r>
        <w:rPr/>
        <w:t>de la </w:t>
      </w:r>
      <w:r>
        <w:rPr>
          <w:spacing w:val="2"/>
        </w:rPr>
        <w:t>administración </w:t>
      </w:r>
      <w:r>
        <w:rPr/>
        <w:t>de KET. Es por </w:t>
      </w:r>
      <w:r>
        <w:rPr>
          <w:spacing w:val="2"/>
        </w:rPr>
        <w:t>esto, </w:t>
      </w:r>
      <w:r>
        <w:rPr/>
        <w:t>que </w:t>
      </w:r>
      <w:r>
        <w:rPr>
          <w:spacing w:val="3"/>
        </w:rPr>
        <w:t>estudios </w:t>
      </w:r>
      <w:r>
        <w:rPr>
          <w:spacing w:val="2"/>
        </w:rPr>
        <w:t>adicionales </w:t>
      </w:r>
      <w:r>
        <w:rPr/>
        <w:t>son </w:t>
      </w:r>
      <w:r>
        <w:rPr>
          <w:spacing w:val="2"/>
        </w:rPr>
        <w:t>necesarios para clarificar </w:t>
      </w:r>
      <w:r>
        <w:rPr/>
        <w:t>el </w:t>
      </w:r>
      <w:r>
        <w:rPr>
          <w:spacing w:val="2"/>
        </w:rPr>
        <w:t>papel </w:t>
      </w:r>
      <w:r>
        <w:rPr/>
        <w:t>de la </w:t>
      </w:r>
      <w:r>
        <w:rPr>
          <w:spacing w:val="3"/>
        </w:rPr>
        <w:t>KET </w:t>
      </w:r>
      <w:r>
        <w:rPr>
          <w:spacing w:val="2"/>
        </w:rPr>
        <w:t>como analgésico suplementario </w:t>
      </w:r>
      <w:r>
        <w:rPr/>
        <w:t>y definir su rol </w:t>
      </w:r>
      <w:r>
        <w:rPr>
          <w:spacing w:val="2"/>
        </w:rPr>
        <w:t>dentro </w:t>
      </w:r>
      <w:r>
        <w:rPr>
          <w:spacing w:val="3"/>
        </w:rPr>
        <w:t>del </w:t>
      </w:r>
      <w:r>
        <w:rPr>
          <w:spacing w:val="2"/>
        </w:rPr>
        <w:t>arsenal terapéutico </w:t>
      </w:r>
      <w:r>
        <w:rPr/>
        <w:t>a </w:t>
      </w:r>
      <w:r>
        <w:rPr>
          <w:spacing w:val="2"/>
        </w:rPr>
        <w:t>disposición </w:t>
      </w:r>
      <w:r>
        <w:rPr/>
        <w:t>de los </w:t>
      </w:r>
      <w:r>
        <w:rPr>
          <w:spacing w:val="2"/>
        </w:rPr>
        <w:t>médicos </w:t>
      </w:r>
      <w:r>
        <w:rPr>
          <w:spacing w:val="3"/>
        </w:rPr>
        <w:t>clínicos </w:t>
      </w:r>
      <w:r>
        <w:rPr>
          <w:spacing w:val="2"/>
        </w:rPr>
        <w:t>para </w:t>
      </w:r>
      <w:r>
        <w:rPr/>
        <w:t>el </w:t>
      </w:r>
      <w:r>
        <w:rPr>
          <w:spacing w:val="2"/>
        </w:rPr>
        <w:t>manejo eficiente </w:t>
      </w:r>
      <w:r>
        <w:rPr/>
        <w:t>del</w:t>
      </w:r>
      <w:r>
        <w:rPr>
          <w:spacing w:val="29"/>
        </w:rPr>
        <w:t> </w:t>
      </w:r>
      <w:r>
        <w:rPr>
          <w:spacing w:val="3"/>
        </w:rPr>
        <w:t>DAPO.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0"/>
        </w:rPr>
      </w:pPr>
      <w:r>
        <w:rPr/>
        <w:pict>
          <v:shape style="position:absolute;margin-left:313.195007pt;margin-top:8.089621pt;width:225.15pt;height:78.6pt;mso-position-horizontal-relative:page;mso-position-vertical-relative:paragraph;z-index:-15725056;mso-wrap-distance-left:0;mso-wrap-distance-right:0" type="#_x0000_t202" filled="false" stroked="true" strokeweight=".5pt" strokecolor="#000000">
            <v:textbox inset="0,0,0,0">
              <w:txbxContent>
                <w:p>
                  <w:pPr>
                    <w:pStyle w:val="BodyText"/>
                    <w:spacing w:before="10"/>
                    <w:rPr>
                      <w:sz w:val="20"/>
                    </w:rPr>
                  </w:pPr>
                </w:p>
                <w:p>
                  <w:pPr>
                    <w:spacing w:before="0"/>
                    <w:ind w:left="415" w:right="0" w:firstLine="0"/>
                    <w:jc w:val="left"/>
                    <w:rPr>
                      <w:rFonts w:ascii="Verdana"/>
                      <w:i/>
                      <w:sz w:val="16"/>
                    </w:rPr>
                  </w:pPr>
                  <w:r>
                    <w:rPr>
                      <w:rFonts w:ascii="Verdana"/>
                      <w:i/>
                      <w:sz w:val="16"/>
                    </w:rPr>
                    <w:t>Correspondencia</w:t>
                  </w:r>
                </w:p>
                <w:p>
                  <w:pPr>
                    <w:spacing w:before="2"/>
                    <w:ind w:left="415" w:right="957" w:firstLine="0"/>
                    <w:jc w:val="left"/>
                    <w:rPr>
                      <w:rFonts w:ascii="Verdana" w:hAnsi="Verdana"/>
                      <w:sz w:val="16"/>
                    </w:rPr>
                  </w:pPr>
                  <w:r>
                    <w:rPr>
                      <w:rFonts w:ascii="Verdana" w:hAnsi="Verdana"/>
                      <w:spacing w:val="-8"/>
                      <w:sz w:val="16"/>
                    </w:rPr>
                    <w:t>Dr. </w:t>
                  </w:r>
                  <w:r>
                    <w:rPr>
                      <w:rFonts w:ascii="Verdana" w:hAnsi="Verdana"/>
                      <w:sz w:val="16"/>
                    </w:rPr>
                    <w:t>Víctor Contreras-Domínguez Casilla N° 1924, Correo de Concepción Concepción,</w:t>
                  </w:r>
                  <w:r>
                    <w:rPr>
                      <w:rFonts w:ascii="Verdana" w:hAnsi="Verdana"/>
                      <w:spacing w:val="-1"/>
                      <w:sz w:val="16"/>
                    </w:rPr>
                    <w:t> </w:t>
                  </w:r>
                  <w:r>
                    <w:rPr>
                      <w:rFonts w:ascii="Verdana" w:hAnsi="Verdana"/>
                      <w:sz w:val="16"/>
                    </w:rPr>
                    <w:t>Chile</w:t>
                  </w:r>
                </w:p>
                <w:p>
                  <w:pPr>
                    <w:spacing w:before="5"/>
                    <w:ind w:left="415" w:right="0" w:firstLine="0"/>
                    <w:jc w:val="left"/>
                    <w:rPr>
                      <w:rFonts w:ascii="Verdana"/>
                      <w:sz w:val="16"/>
                    </w:rPr>
                  </w:pPr>
                  <w:r>
                    <w:rPr>
                      <w:rFonts w:ascii="Verdana"/>
                      <w:sz w:val="16"/>
                    </w:rPr>
                    <w:t>Correo-e</w:t>
                  </w:r>
                  <w:hyperlink r:id="rId9">
                    <w:r>
                      <w:rPr>
                        <w:rFonts w:ascii="Verdana"/>
                        <w:sz w:val="16"/>
                      </w:rPr>
                      <w:t>: dr.vcontrer</w:t>
                    </w:r>
                  </w:hyperlink>
                  <w:hyperlink r:id="rId10">
                    <w:r>
                      <w:rPr>
                        <w:rFonts w:ascii="Verdana"/>
                        <w:sz w:val="16"/>
                      </w:rPr>
                      <w:t>as@gmail.com</w:t>
                    </w:r>
                  </w:hyperlink>
                </w:p>
              </w:txbxContent>
            </v:textbox>
            <v:stroke dashstyle="solid"/>
            <w10:wrap type="topAndBottom"/>
          </v:shape>
        </w:pict>
      </w:r>
    </w:p>
    <w:p>
      <w:pPr>
        <w:spacing w:after="0"/>
        <w:rPr>
          <w:sz w:val="10"/>
        </w:rPr>
        <w:sectPr>
          <w:type w:val="continuous"/>
          <w:pgSz w:w="11910" w:h="15310"/>
          <w:pgMar w:top="0" w:bottom="280" w:left="1020" w:right="1020"/>
          <w:cols w:num="2" w:equalWidth="0">
            <w:col w:w="4673" w:space="452"/>
            <w:col w:w="4745"/>
          </w:cols>
        </w:sectPr>
      </w:pPr>
    </w:p>
    <w:p>
      <w:pPr>
        <w:pStyle w:val="BodyText"/>
        <w:rPr>
          <w:sz w:val="20"/>
        </w:rPr>
      </w:pPr>
    </w:p>
    <w:p>
      <w:pPr>
        <w:pStyle w:val="BodyText"/>
        <w:rPr>
          <w:sz w:val="20"/>
        </w:rPr>
      </w:pPr>
    </w:p>
    <w:p>
      <w:pPr>
        <w:pStyle w:val="BodyText"/>
        <w:rPr>
          <w:sz w:val="20"/>
        </w:rPr>
      </w:pPr>
    </w:p>
    <w:p>
      <w:pPr>
        <w:pStyle w:val="BodyText"/>
        <w:spacing w:before="8"/>
        <w:rPr>
          <w:sz w:val="23"/>
        </w:rPr>
      </w:pPr>
    </w:p>
    <w:p>
      <w:pPr>
        <w:pStyle w:val="Heading1"/>
        <w:spacing w:line="240" w:lineRule="auto"/>
      </w:pPr>
      <w:r>
        <w:rPr/>
        <w:t>Referencias Bibliográficas</w:t>
      </w:r>
    </w:p>
    <w:p>
      <w:pPr>
        <w:pStyle w:val="BodyText"/>
        <w:spacing w:before="10"/>
        <w:rPr>
          <w:b/>
          <w:sz w:val="9"/>
        </w:rPr>
      </w:pPr>
    </w:p>
    <w:p>
      <w:pPr>
        <w:spacing w:after="0"/>
        <w:rPr>
          <w:sz w:val="9"/>
        </w:rPr>
        <w:sectPr>
          <w:pgSz w:w="11910" w:h="15310"/>
          <w:pgMar w:header="879" w:footer="0" w:top="1120" w:bottom="280" w:left="1020" w:right="1020"/>
        </w:sectPr>
      </w:pPr>
    </w:p>
    <w:p>
      <w:pPr>
        <w:pStyle w:val="ListParagraph"/>
        <w:numPr>
          <w:ilvl w:val="0"/>
          <w:numId w:val="4"/>
        </w:numPr>
        <w:tabs>
          <w:tab w:pos="625" w:val="left" w:leader="none"/>
        </w:tabs>
        <w:spacing w:line="321" w:lineRule="auto" w:before="105" w:after="0"/>
        <w:ind w:left="397" w:right="41" w:firstLine="0"/>
        <w:jc w:val="both"/>
        <w:rPr>
          <w:sz w:val="12"/>
        </w:rPr>
      </w:pPr>
      <w:r>
        <w:rPr>
          <w:spacing w:val="-3"/>
          <w:sz w:val="12"/>
        </w:rPr>
        <w:t>White </w:t>
      </w:r>
      <w:r>
        <w:rPr>
          <w:spacing w:val="-11"/>
          <w:sz w:val="12"/>
        </w:rPr>
        <w:t>P. </w:t>
      </w:r>
      <w:r>
        <w:rPr>
          <w:sz w:val="12"/>
        </w:rPr>
        <w:t>The </w:t>
      </w:r>
      <w:r>
        <w:rPr>
          <w:spacing w:val="-3"/>
          <w:sz w:val="12"/>
        </w:rPr>
        <w:t>changing role </w:t>
      </w:r>
      <w:r>
        <w:rPr>
          <w:sz w:val="12"/>
        </w:rPr>
        <w:t>of </w:t>
      </w:r>
      <w:r>
        <w:rPr>
          <w:spacing w:val="-3"/>
          <w:sz w:val="12"/>
        </w:rPr>
        <w:t>non-opioid analgesic techniques </w:t>
      </w:r>
      <w:r>
        <w:rPr>
          <w:sz w:val="12"/>
        </w:rPr>
        <w:t>in </w:t>
      </w:r>
      <w:r>
        <w:rPr>
          <w:spacing w:val="-3"/>
          <w:sz w:val="12"/>
        </w:rPr>
        <w:t>the management</w:t>
      </w:r>
      <w:r>
        <w:rPr>
          <w:spacing w:val="-10"/>
          <w:sz w:val="12"/>
        </w:rPr>
        <w:t> </w:t>
      </w:r>
      <w:r>
        <w:rPr>
          <w:sz w:val="12"/>
        </w:rPr>
        <w:t>of</w:t>
      </w:r>
      <w:r>
        <w:rPr>
          <w:spacing w:val="-9"/>
          <w:sz w:val="12"/>
        </w:rPr>
        <w:t> </w:t>
      </w:r>
      <w:r>
        <w:rPr>
          <w:spacing w:val="-3"/>
          <w:sz w:val="12"/>
        </w:rPr>
        <w:t>postoperative</w:t>
      </w:r>
      <w:r>
        <w:rPr>
          <w:spacing w:val="-9"/>
          <w:sz w:val="12"/>
        </w:rPr>
        <w:t> </w:t>
      </w:r>
      <w:r>
        <w:rPr>
          <w:spacing w:val="-3"/>
          <w:sz w:val="12"/>
        </w:rPr>
        <w:t>pain.</w:t>
      </w:r>
      <w:r>
        <w:rPr>
          <w:spacing w:val="-9"/>
          <w:sz w:val="12"/>
        </w:rPr>
        <w:t> </w:t>
      </w:r>
      <w:r>
        <w:rPr>
          <w:spacing w:val="-3"/>
          <w:sz w:val="12"/>
        </w:rPr>
        <w:t>Anesth</w:t>
      </w:r>
      <w:r>
        <w:rPr>
          <w:spacing w:val="-9"/>
          <w:sz w:val="12"/>
        </w:rPr>
        <w:t> </w:t>
      </w:r>
      <w:r>
        <w:rPr>
          <w:spacing w:val="-3"/>
          <w:sz w:val="12"/>
        </w:rPr>
        <w:t>Analg.</w:t>
      </w:r>
      <w:r>
        <w:rPr>
          <w:spacing w:val="-9"/>
          <w:sz w:val="12"/>
        </w:rPr>
        <w:t> </w:t>
      </w:r>
      <w:r>
        <w:rPr>
          <w:spacing w:val="-3"/>
          <w:sz w:val="12"/>
        </w:rPr>
        <w:t>2005;</w:t>
      </w:r>
      <w:r>
        <w:rPr>
          <w:spacing w:val="-9"/>
          <w:sz w:val="12"/>
        </w:rPr>
        <w:t> </w:t>
      </w:r>
      <w:r>
        <w:rPr>
          <w:sz w:val="12"/>
        </w:rPr>
        <w:t>101</w:t>
      </w:r>
      <w:r>
        <w:rPr>
          <w:spacing w:val="-10"/>
          <w:sz w:val="12"/>
        </w:rPr>
        <w:t> </w:t>
      </w:r>
      <w:r>
        <w:rPr>
          <w:spacing w:val="-3"/>
          <w:sz w:val="12"/>
        </w:rPr>
        <w:t>(5S):</w:t>
      </w:r>
      <w:r>
        <w:rPr>
          <w:spacing w:val="-9"/>
          <w:sz w:val="12"/>
        </w:rPr>
        <w:t> </w:t>
      </w:r>
      <w:r>
        <w:rPr>
          <w:spacing w:val="-3"/>
          <w:sz w:val="12"/>
        </w:rPr>
        <w:t>5-22.</w:t>
      </w:r>
    </w:p>
    <w:p>
      <w:pPr>
        <w:pStyle w:val="ListParagraph"/>
        <w:numPr>
          <w:ilvl w:val="0"/>
          <w:numId w:val="4"/>
        </w:numPr>
        <w:tabs>
          <w:tab w:pos="601" w:val="left" w:leader="none"/>
        </w:tabs>
        <w:spacing w:line="240" w:lineRule="auto" w:before="1" w:after="0"/>
        <w:ind w:left="600" w:right="0" w:hanging="204"/>
        <w:jc w:val="both"/>
        <w:rPr>
          <w:sz w:val="12"/>
        </w:rPr>
      </w:pPr>
      <w:r>
        <w:rPr>
          <w:sz w:val="12"/>
        </w:rPr>
        <w:t>White </w:t>
      </w:r>
      <w:r>
        <w:rPr>
          <w:spacing w:val="-6"/>
          <w:sz w:val="12"/>
        </w:rPr>
        <w:t>PF. </w:t>
      </w:r>
      <w:r>
        <w:rPr>
          <w:sz w:val="12"/>
        </w:rPr>
        <w:t>Ketamine – its pharmacology and therapeutic</w:t>
      </w:r>
      <w:r>
        <w:rPr>
          <w:spacing w:val="20"/>
          <w:sz w:val="12"/>
        </w:rPr>
        <w:t> </w:t>
      </w:r>
      <w:r>
        <w:rPr>
          <w:sz w:val="12"/>
        </w:rPr>
        <w:t>uses.</w:t>
      </w:r>
    </w:p>
    <w:p>
      <w:pPr>
        <w:spacing w:before="50"/>
        <w:ind w:left="397" w:right="0" w:firstLine="0"/>
        <w:jc w:val="both"/>
        <w:rPr>
          <w:rFonts w:ascii="Verdana"/>
          <w:sz w:val="12"/>
        </w:rPr>
      </w:pPr>
      <w:r>
        <w:rPr>
          <w:rFonts w:ascii="Verdana"/>
          <w:sz w:val="12"/>
        </w:rPr>
        <w:t>Anesthesiology. 1982; 56:119-36.</w:t>
      </w:r>
    </w:p>
    <w:p>
      <w:pPr>
        <w:pStyle w:val="ListParagraph"/>
        <w:numPr>
          <w:ilvl w:val="0"/>
          <w:numId w:val="4"/>
        </w:numPr>
        <w:tabs>
          <w:tab w:pos="625" w:val="left" w:leader="none"/>
        </w:tabs>
        <w:spacing w:line="321" w:lineRule="auto" w:before="50" w:after="0"/>
        <w:ind w:left="397" w:right="39" w:firstLine="0"/>
        <w:jc w:val="both"/>
        <w:rPr>
          <w:sz w:val="12"/>
        </w:rPr>
      </w:pPr>
      <w:r>
        <w:rPr>
          <w:sz w:val="12"/>
        </w:rPr>
        <w:t>Scheller M, et al. Ketamine blocks currents through mammalian nicotinic acetylcholine receptor channels by interaction with both the open and the closed state. Anesth Analg. 1996;</w:t>
      </w:r>
      <w:r>
        <w:rPr>
          <w:spacing w:val="-1"/>
          <w:sz w:val="12"/>
        </w:rPr>
        <w:t> </w:t>
      </w:r>
      <w:r>
        <w:rPr>
          <w:sz w:val="12"/>
        </w:rPr>
        <w:t>83:830-6.</w:t>
      </w:r>
    </w:p>
    <w:p>
      <w:pPr>
        <w:pStyle w:val="ListParagraph"/>
        <w:numPr>
          <w:ilvl w:val="0"/>
          <w:numId w:val="4"/>
        </w:numPr>
        <w:tabs>
          <w:tab w:pos="625" w:val="left" w:leader="none"/>
        </w:tabs>
        <w:spacing w:line="321" w:lineRule="auto" w:before="2" w:after="0"/>
        <w:ind w:left="397" w:right="39" w:firstLine="0"/>
        <w:jc w:val="both"/>
        <w:rPr>
          <w:sz w:val="12"/>
        </w:rPr>
      </w:pPr>
      <w:r>
        <w:rPr>
          <w:sz w:val="12"/>
        </w:rPr>
        <w:t>Ohtani M, Kikuchi H, Kitahata LM, et al. Effects of ketamine on nociceptive</w:t>
      </w:r>
      <w:r>
        <w:rPr>
          <w:spacing w:val="-6"/>
          <w:sz w:val="12"/>
        </w:rPr>
        <w:t> </w:t>
      </w:r>
      <w:r>
        <w:rPr>
          <w:sz w:val="12"/>
        </w:rPr>
        <w:t>cells</w:t>
      </w:r>
      <w:r>
        <w:rPr>
          <w:spacing w:val="-6"/>
          <w:sz w:val="12"/>
        </w:rPr>
        <w:t> </w:t>
      </w:r>
      <w:r>
        <w:rPr>
          <w:sz w:val="12"/>
        </w:rPr>
        <w:t>in</w:t>
      </w:r>
      <w:r>
        <w:rPr>
          <w:spacing w:val="-5"/>
          <w:sz w:val="12"/>
        </w:rPr>
        <w:t> </w:t>
      </w:r>
      <w:r>
        <w:rPr>
          <w:sz w:val="12"/>
        </w:rPr>
        <w:t>the</w:t>
      </w:r>
      <w:r>
        <w:rPr>
          <w:spacing w:val="-6"/>
          <w:sz w:val="12"/>
        </w:rPr>
        <w:t> </w:t>
      </w:r>
      <w:r>
        <w:rPr>
          <w:sz w:val="12"/>
        </w:rPr>
        <w:t>medial</w:t>
      </w:r>
      <w:r>
        <w:rPr>
          <w:spacing w:val="-6"/>
          <w:sz w:val="12"/>
        </w:rPr>
        <w:t> </w:t>
      </w:r>
      <w:r>
        <w:rPr>
          <w:sz w:val="12"/>
        </w:rPr>
        <w:t>medullary</w:t>
      </w:r>
      <w:r>
        <w:rPr>
          <w:spacing w:val="-5"/>
          <w:sz w:val="12"/>
        </w:rPr>
        <w:t> </w:t>
      </w:r>
      <w:r>
        <w:rPr>
          <w:sz w:val="12"/>
        </w:rPr>
        <w:t>reticular</w:t>
      </w:r>
      <w:r>
        <w:rPr>
          <w:spacing w:val="-6"/>
          <w:sz w:val="12"/>
        </w:rPr>
        <w:t> </w:t>
      </w:r>
      <w:r>
        <w:rPr>
          <w:sz w:val="12"/>
        </w:rPr>
        <w:t>formation</w:t>
      </w:r>
      <w:r>
        <w:rPr>
          <w:spacing w:val="-6"/>
          <w:sz w:val="12"/>
        </w:rPr>
        <w:t> </w:t>
      </w:r>
      <w:r>
        <w:rPr>
          <w:sz w:val="12"/>
        </w:rPr>
        <w:t>of</w:t>
      </w:r>
      <w:r>
        <w:rPr>
          <w:spacing w:val="-5"/>
          <w:sz w:val="12"/>
        </w:rPr>
        <w:t> </w:t>
      </w:r>
      <w:r>
        <w:rPr>
          <w:sz w:val="12"/>
        </w:rPr>
        <w:t>the</w:t>
      </w:r>
      <w:r>
        <w:rPr>
          <w:spacing w:val="-6"/>
          <w:sz w:val="12"/>
        </w:rPr>
        <w:t> </w:t>
      </w:r>
      <w:r>
        <w:rPr>
          <w:sz w:val="12"/>
        </w:rPr>
        <w:t>cat. Anesthesiology. 1979;</w:t>
      </w:r>
      <w:r>
        <w:rPr>
          <w:spacing w:val="-1"/>
          <w:sz w:val="12"/>
        </w:rPr>
        <w:t> </w:t>
      </w:r>
      <w:r>
        <w:rPr>
          <w:sz w:val="12"/>
        </w:rPr>
        <w:t>51:414-7.</w:t>
      </w:r>
    </w:p>
    <w:p>
      <w:pPr>
        <w:pStyle w:val="ListParagraph"/>
        <w:numPr>
          <w:ilvl w:val="0"/>
          <w:numId w:val="4"/>
        </w:numPr>
        <w:tabs>
          <w:tab w:pos="625" w:val="left" w:leader="none"/>
        </w:tabs>
        <w:spacing w:line="321" w:lineRule="auto" w:before="1" w:after="0"/>
        <w:ind w:left="397" w:right="39" w:firstLine="0"/>
        <w:jc w:val="both"/>
        <w:rPr>
          <w:sz w:val="12"/>
        </w:rPr>
      </w:pPr>
      <w:r>
        <w:rPr>
          <w:sz w:val="12"/>
        </w:rPr>
        <w:t>Miyasaka M, Domino </w:t>
      </w:r>
      <w:r>
        <w:rPr>
          <w:spacing w:val="-7"/>
          <w:sz w:val="12"/>
        </w:rPr>
        <w:t>EF. </w:t>
      </w:r>
      <w:r>
        <w:rPr>
          <w:sz w:val="12"/>
        </w:rPr>
        <w:t>Neural mechanisms of ketamine-induced anesthesia. Int J Neuropharmacol. 1968;</w:t>
      </w:r>
      <w:r>
        <w:rPr>
          <w:spacing w:val="-3"/>
          <w:sz w:val="12"/>
        </w:rPr>
        <w:t> </w:t>
      </w:r>
      <w:r>
        <w:rPr>
          <w:sz w:val="12"/>
        </w:rPr>
        <w:t>7:557-73.</w:t>
      </w:r>
    </w:p>
    <w:p>
      <w:pPr>
        <w:pStyle w:val="ListParagraph"/>
        <w:numPr>
          <w:ilvl w:val="0"/>
          <w:numId w:val="4"/>
        </w:numPr>
        <w:tabs>
          <w:tab w:pos="625" w:val="left" w:leader="none"/>
        </w:tabs>
        <w:spacing w:line="321" w:lineRule="auto" w:before="1" w:after="0"/>
        <w:ind w:left="397" w:right="40" w:firstLine="0"/>
        <w:jc w:val="both"/>
        <w:rPr>
          <w:sz w:val="12"/>
        </w:rPr>
      </w:pPr>
      <w:r>
        <w:rPr>
          <w:sz w:val="12"/>
        </w:rPr>
        <w:t>Amiot </w:t>
      </w:r>
      <w:r>
        <w:rPr>
          <w:spacing w:val="-6"/>
          <w:sz w:val="12"/>
        </w:rPr>
        <w:t>JF, </w:t>
      </w:r>
      <w:r>
        <w:rPr>
          <w:sz w:val="12"/>
        </w:rPr>
        <w:t>Bouju </w:t>
      </w:r>
      <w:r>
        <w:rPr>
          <w:spacing w:val="-9"/>
          <w:sz w:val="12"/>
        </w:rPr>
        <w:t>P, </w:t>
      </w:r>
      <w:r>
        <w:rPr>
          <w:sz w:val="12"/>
        </w:rPr>
        <w:t>Palacci JH. Effect of naloxone on loss of consciousness induced by IV ketamine (letter). Br J Anaesth. 1985; 57:930.</w:t>
      </w:r>
    </w:p>
    <w:p>
      <w:pPr>
        <w:pStyle w:val="ListParagraph"/>
        <w:numPr>
          <w:ilvl w:val="0"/>
          <w:numId w:val="4"/>
        </w:numPr>
        <w:tabs>
          <w:tab w:pos="625" w:val="left" w:leader="none"/>
        </w:tabs>
        <w:spacing w:line="321" w:lineRule="auto" w:before="2" w:after="0"/>
        <w:ind w:left="397" w:right="39" w:firstLine="0"/>
        <w:jc w:val="both"/>
        <w:rPr>
          <w:sz w:val="12"/>
        </w:rPr>
      </w:pPr>
      <w:r>
        <w:rPr>
          <w:sz w:val="12"/>
        </w:rPr>
        <w:t>J. M. López-Millán et al. Utilización de ketamina en el tratamiento del dolor agudo y crónico. </w:t>
      </w:r>
      <w:r>
        <w:rPr>
          <w:spacing w:val="-4"/>
          <w:sz w:val="12"/>
        </w:rPr>
        <w:t>Rev. </w:t>
      </w:r>
      <w:r>
        <w:rPr>
          <w:sz w:val="12"/>
        </w:rPr>
        <w:t>Soc. Esp. del </w:t>
      </w:r>
      <w:r>
        <w:rPr>
          <w:spacing w:val="-3"/>
          <w:sz w:val="12"/>
        </w:rPr>
        <w:t>Dolor, </w:t>
      </w:r>
      <w:r>
        <w:rPr>
          <w:sz w:val="12"/>
        </w:rPr>
        <w:t>Vol. 14, Nº 1, Enero-Febrero</w:t>
      </w:r>
      <w:r>
        <w:rPr>
          <w:spacing w:val="-1"/>
          <w:sz w:val="12"/>
        </w:rPr>
        <w:t> </w:t>
      </w:r>
      <w:r>
        <w:rPr>
          <w:sz w:val="12"/>
        </w:rPr>
        <w:t>2007.</w:t>
      </w:r>
    </w:p>
    <w:p>
      <w:pPr>
        <w:pStyle w:val="ListParagraph"/>
        <w:numPr>
          <w:ilvl w:val="0"/>
          <w:numId w:val="4"/>
        </w:numPr>
        <w:tabs>
          <w:tab w:pos="625" w:val="left" w:leader="none"/>
        </w:tabs>
        <w:spacing w:line="321" w:lineRule="auto" w:before="2" w:after="0"/>
        <w:ind w:left="397" w:right="38" w:firstLine="0"/>
        <w:jc w:val="both"/>
        <w:rPr>
          <w:sz w:val="12"/>
        </w:rPr>
      </w:pPr>
      <w:r>
        <w:rPr>
          <w:sz w:val="12"/>
        </w:rPr>
        <w:t>Rogers</w:t>
      </w:r>
      <w:r>
        <w:rPr>
          <w:spacing w:val="-5"/>
          <w:sz w:val="12"/>
        </w:rPr>
        <w:t> </w:t>
      </w:r>
      <w:r>
        <w:rPr>
          <w:sz w:val="12"/>
        </w:rPr>
        <w:t>R,</w:t>
      </w:r>
      <w:r>
        <w:rPr>
          <w:spacing w:val="-4"/>
          <w:sz w:val="12"/>
        </w:rPr>
        <w:t> </w:t>
      </w:r>
      <w:r>
        <w:rPr>
          <w:sz w:val="12"/>
        </w:rPr>
        <w:t>Wise</w:t>
      </w:r>
      <w:r>
        <w:rPr>
          <w:spacing w:val="-4"/>
          <w:sz w:val="12"/>
        </w:rPr>
        <w:t> </w:t>
      </w:r>
      <w:r>
        <w:rPr>
          <w:sz w:val="12"/>
        </w:rPr>
        <w:t>RG,</w:t>
      </w:r>
      <w:r>
        <w:rPr>
          <w:spacing w:val="-5"/>
          <w:sz w:val="12"/>
        </w:rPr>
        <w:t> </w:t>
      </w:r>
      <w:r>
        <w:rPr>
          <w:sz w:val="12"/>
        </w:rPr>
        <w:t>Painter</w:t>
      </w:r>
      <w:r>
        <w:rPr>
          <w:spacing w:val="-4"/>
          <w:sz w:val="12"/>
        </w:rPr>
        <w:t> </w:t>
      </w:r>
      <w:r>
        <w:rPr>
          <w:sz w:val="12"/>
        </w:rPr>
        <w:t>DJ,</w:t>
      </w:r>
      <w:r>
        <w:rPr>
          <w:spacing w:val="-4"/>
          <w:sz w:val="12"/>
        </w:rPr>
        <w:t> </w:t>
      </w:r>
      <w:r>
        <w:rPr>
          <w:sz w:val="12"/>
        </w:rPr>
        <w:t>et</w:t>
      </w:r>
      <w:r>
        <w:rPr>
          <w:spacing w:val="-4"/>
          <w:sz w:val="12"/>
        </w:rPr>
        <w:t> </w:t>
      </w:r>
      <w:r>
        <w:rPr>
          <w:sz w:val="12"/>
        </w:rPr>
        <w:t>al.</w:t>
      </w:r>
      <w:r>
        <w:rPr>
          <w:spacing w:val="-5"/>
          <w:sz w:val="12"/>
        </w:rPr>
        <w:t> </w:t>
      </w:r>
      <w:r>
        <w:rPr>
          <w:sz w:val="12"/>
        </w:rPr>
        <w:t>An</w:t>
      </w:r>
      <w:r>
        <w:rPr>
          <w:spacing w:val="-4"/>
          <w:sz w:val="12"/>
        </w:rPr>
        <w:t> </w:t>
      </w:r>
      <w:r>
        <w:rPr>
          <w:sz w:val="12"/>
        </w:rPr>
        <w:t>investigation</w:t>
      </w:r>
      <w:r>
        <w:rPr>
          <w:spacing w:val="-4"/>
          <w:sz w:val="12"/>
        </w:rPr>
        <w:t> </w:t>
      </w:r>
      <w:r>
        <w:rPr>
          <w:sz w:val="12"/>
        </w:rPr>
        <w:t>to</w:t>
      </w:r>
      <w:r>
        <w:rPr>
          <w:spacing w:val="-5"/>
          <w:sz w:val="12"/>
        </w:rPr>
        <w:t> </w:t>
      </w:r>
      <w:r>
        <w:rPr>
          <w:sz w:val="12"/>
        </w:rPr>
        <w:t>dissociate the analgesic and anesthetic properties of ketamine using functional magnetic resonance imaging. Anesthesiology. 2004;</w:t>
      </w:r>
      <w:r>
        <w:rPr>
          <w:spacing w:val="-10"/>
          <w:sz w:val="12"/>
        </w:rPr>
        <w:t> </w:t>
      </w:r>
      <w:r>
        <w:rPr>
          <w:sz w:val="12"/>
        </w:rPr>
        <w:t>10:292-301.</w:t>
      </w:r>
    </w:p>
    <w:p>
      <w:pPr>
        <w:pStyle w:val="ListParagraph"/>
        <w:numPr>
          <w:ilvl w:val="0"/>
          <w:numId w:val="4"/>
        </w:numPr>
        <w:tabs>
          <w:tab w:pos="625" w:val="left" w:leader="none"/>
        </w:tabs>
        <w:spacing w:line="240" w:lineRule="auto" w:before="1" w:after="0"/>
        <w:ind w:left="624" w:right="0" w:hanging="228"/>
        <w:jc w:val="both"/>
        <w:rPr>
          <w:sz w:val="12"/>
        </w:rPr>
      </w:pPr>
      <w:r>
        <w:rPr>
          <w:sz w:val="12"/>
        </w:rPr>
        <w:t>Macario</w:t>
      </w:r>
      <w:r>
        <w:rPr>
          <w:spacing w:val="17"/>
          <w:sz w:val="12"/>
        </w:rPr>
        <w:t> </w:t>
      </w:r>
      <w:r>
        <w:rPr>
          <w:sz w:val="12"/>
        </w:rPr>
        <w:t>A,</w:t>
      </w:r>
      <w:r>
        <w:rPr>
          <w:spacing w:val="18"/>
          <w:sz w:val="12"/>
        </w:rPr>
        <w:t> </w:t>
      </w:r>
      <w:r>
        <w:rPr>
          <w:sz w:val="12"/>
        </w:rPr>
        <w:t>Vasanawala</w:t>
      </w:r>
      <w:r>
        <w:rPr>
          <w:spacing w:val="18"/>
          <w:sz w:val="12"/>
        </w:rPr>
        <w:t> </w:t>
      </w:r>
      <w:r>
        <w:rPr>
          <w:sz w:val="12"/>
        </w:rPr>
        <w:t>A.</w:t>
      </w:r>
      <w:r>
        <w:rPr>
          <w:spacing w:val="18"/>
          <w:sz w:val="12"/>
        </w:rPr>
        <w:t> </w:t>
      </w:r>
      <w:r>
        <w:rPr>
          <w:sz w:val="12"/>
        </w:rPr>
        <w:t>Improving</w:t>
      </w:r>
      <w:r>
        <w:rPr>
          <w:spacing w:val="17"/>
          <w:sz w:val="12"/>
        </w:rPr>
        <w:t> </w:t>
      </w:r>
      <w:r>
        <w:rPr>
          <w:sz w:val="12"/>
        </w:rPr>
        <w:t>quality</w:t>
      </w:r>
      <w:r>
        <w:rPr>
          <w:spacing w:val="18"/>
          <w:sz w:val="12"/>
        </w:rPr>
        <w:t> </w:t>
      </w:r>
      <w:r>
        <w:rPr>
          <w:sz w:val="12"/>
        </w:rPr>
        <w:t>of</w:t>
      </w:r>
      <w:r>
        <w:rPr>
          <w:spacing w:val="18"/>
          <w:sz w:val="12"/>
        </w:rPr>
        <w:t> </w:t>
      </w:r>
      <w:r>
        <w:rPr>
          <w:sz w:val="12"/>
        </w:rPr>
        <w:t>anesthesia</w:t>
      </w:r>
      <w:r>
        <w:rPr>
          <w:spacing w:val="18"/>
          <w:sz w:val="12"/>
        </w:rPr>
        <w:t> </w:t>
      </w:r>
      <w:r>
        <w:rPr>
          <w:sz w:val="12"/>
        </w:rPr>
        <w:t>care:</w:t>
      </w:r>
    </w:p>
    <w:p>
      <w:pPr>
        <w:spacing w:before="50"/>
        <w:ind w:left="397" w:right="0" w:firstLine="0"/>
        <w:jc w:val="both"/>
        <w:rPr>
          <w:rFonts w:ascii="Verdana" w:hAnsi="Verdana"/>
          <w:sz w:val="12"/>
        </w:rPr>
      </w:pPr>
      <w:r>
        <w:rPr>
          <w:rFonts w:ascii="Verdana" w:hAnsi="Verdana"/>
          <w:sz w:val="12"/>
        </w:rPr>
        <w:t>opportunities for the new decade. Can J Anaesth. 2001; 48:6–11.</w:t>
      </w:r>
    </w:p>
    <w:p>
      <w:pPr>
        <w:pStyle w:val="ListParagraph"/>
        <w:numPr>
          <w:ilvl w:val="0"/>
          <w:numId w:val="4"/>
        </w:numPr>
        <w:tabs>
          <w:tab w:pos="625" w:val="left" w:leader="none"/>
        </w:tabs>
        <w:spacing w:line="240" w:lineRule="auto" w:before="50" w:after="0"/>
        <w:ind w:left="624" w:right="0" w:hanging="228"/>
        <w:jc w:val="both"/>
        <w:rPr>
          <w:sz w:val="12"/>
        </w:rPr>
      </w:pPr>
      <w:r>
        <w:rPr>
          <w:sz w:val="12"/>
        </w:rPr>
        <w:t>Bell </w:t>
      </w:r>
      <w:r>
        <w:rPr>
          <w:spacing w:val="-7"/>
          <w:sz w:val="12"/>
        </w:rPr>
        <w:t>RF, </w:t>
      </w:r>
      <w:r>
        <w:rPr>
          <w:sz w:val="12"/>
        </w:rPr>
        <w:t>Dahl JB, Moore RA, et al. Perioperative ketamine for</w:t>
      </w:r>
      <w:r>
        <w:rPr>
          <w:spacing w:val="1"/>
          <w:sz w:val="12"/>
        </w:rPr>
        <w:t> </w:t>
      </w:r>
      <w:r>
        <w:rPr>
          <w:sz w:val="12"/>
        </w:rPr>
        <w:t>acute</w:t>
      </w:r>
    </w:p>
    <w:p>
      <w:pPr>
        <w:spacing w:before="50"/>
        <w:ind w:left="397" w:right="0" w:firstLine="0"/>
        <w:jc w:val="both"/>
        <w:rPr>
          <w:rFonts w:ascii="Verdana"/>
          <w:sz w:val="12"/>
        </w:rPr>
      </w:pPr>
      <w:r>
        <w:rPr>
          <w:rFonts w:ascii="Verdana"/>
          <w:sz w:val="12"/>
        </w:rPr>
        <w:t>postoperative pain. Cochrane Database Syst Rev. 2006:CD004603.</w:t>
      </w:r>
    </w:p>
    <w:p>
      <w:pPr>
        <w:spacing w:line="321" w:lineRule="auto" w:before="51"/>
        <w:ind w:left="397" w:right="41" w:firstLine="0"/>
        <w:jc w:val="both"/>
        <w:rPr>
          <w:rFonts w:ascii="Verdana"/>
          <w:sz w:val="12"/>
        </w:rPr>
      </w:pPr>
      <w:r>
        <w:rPr>
          <w:rFonts w:ascii="Verdana"/>
          <w:sz w:val="12"/>
        </w:rPr>
        <w:t>(11)</w:t>
      </w:r>
      <w:r>
        <w:rPr>
          <w:rFonts w:ascii="Verdana"/>
          <w:spacing w:val="36"/>
          <w:sz w:val="12"/>
        </w:rPr>
        <w:t> </w:t>
      </w:r>
      <w:r>
        <w:rPr>
          <w:rFonts w:ascii="Verdana"/>
          <w:sz w:val="12"/>
        </w:rPr>
        <w:t>Liu</w:t>
      </w:r>
      <w:r>
        <w:rPr>
          <w:rFonts w:ascii="Verdana"/>
          <w:spacing w:val="-19"/>
          <w:sz w:val="12"/>
        </w:rPr>
        <w:t> </w:t>
      </w:r>
      <w:r>
        <w:rPr>
          <w:rFonts w:ascii="Verdana"/>
          <w:sz w:val="12"/>
        </w:rPr>
        <w:t>SS,</w:t>
      </w:r>
      <w:r>
        <w:rPr>
          <w:rFonts w:ascii="Verdana"/>
          <w:spacing w:val="-20"/>
          <w:sz w:val="12"/>
        </w:rPr>
        <w:t> </w:t>
      </w:r>
      <w:r>
        <w:rPr>
          <w:rFonts w:ascii="Verdana"/>
          <w:sz w:val="12"/>
        </w:rPr>
        <w:t>Wu</w:t>
      </w:r>
      <w:r>
        <w:rPr>
          <w:rFonts w:ascii="Verdana"/>
          <w:spacing w:val="-19"/>
          <w:sz w:val="12"/>
        </w:rPr>
        <w:t> </w:t>
      </w:r>
      <w:r>
        <w:rPr>
          <w:rFonts w:ascii="Verdana"/>
          <w:sz w:val="12"/>
        </w:rPr>
        <w:t>CL.</w:t>
      </w:r>
      <w:r>
        <w:rPr>
          <w:rFonts w:ascii="Verdana"/>
          <w:spacing w:val="-20"/>
          <w:sz w:val="12"/>
        </w:rPr>
        <w:t> </w:t>
      </w:r>
      <w:r>
        <w:rPr>
          <w:rFonts w:ascii="Verdana"/>
          <w:sz w:val="12"/>
        </w:rPr>
        <w:t>The</w:t>
      </w:r>
      <w:r>
        <w:rPr>
          <w:rFonts w:ascii="Verdana"/>
          <w:spacing w:val="-19"/>
          <w:sz w:val="12"/>
        </w:rPr>
        <w:t> </w:t>
      </w:r>
      <w:r>
        <w:rPr>
          <w:rFonts w:ascii="Verdana"/>
          <w:sz w:val="12"/>
        </w:rPr>
        <w:t>effect</w:t>
      </w:r>
      <w:r>
        <w:rPr>
          <w:rFonts w:ascii="Verdana"/>
          <w:spacing w:val="-20"/>
          <w:sz w:val="12"/>
        </w:rPr>
        <w:t> </w:t>
      </w:r>
      <w:r>
        <w:rPr>
          <w:rFonts w:ascii="Verdana"/>
          <w:sz w:val="12"/>
        </w:rPr>
        <w:t>of</w:t>
      </w:r>
      <w:r>
        <w:rPr>
          <w:rFonts w:ascii="Verdana"/>
          <w:spacing w:val="-20"/>
          <w:sz w:val="12"/>
        </w:rPr>
        <w:t> </w:t>
      </w:r>
      <w:r>
        <w:rPr>
          <w:rFonts w:ascii="Verdana"/>
          <w:sz w:val="12"/>
        </w:rPr>
        <w:t>analgesic</w:t>
      </w:r>
      <w:r>
        <w:rPr>
          <w:rFonts w:ascii="Verdana"/>
          <w:spacing w:val="-19"/>
          <w:sz w:val="12"/>
        </w:rPr>
        <w:t> </w:t>
      </w:r>
      <w:r>
        <w:rPr>
          <w:rFonts w:ascii="Verdana"/>
          <w:sz w:val="12"/>
        </w:rPr>
        <w:t>technique</w:t>
      </w:r>
      <w:r>
        <w:rPr>
          <w:rFonts w:ascii="Verdana"/>
          <w:spacing w:val="-20"/>
          <w:sz w:val="12"/>
        </w:rPr>
        <w:t> </w:t>
      </w:r>
      <w:r>
        <w:rPr>
          <w:rFonts w:ascii="Verdana"/>
          <w:sz w:val="12"/>
        </w:rPr>
        <w:t>on</w:t>
      </w:r>
      <w:r>
        <w:rPr>
          <w:rFonts w:ascii="Verdana"/>
          <w:spacing w:val="-19"/>
          <w:sz w:val="12"/>
        </w:rPr>
        <w:t> </w:t>
      </w:r>
      <w:r>
        <w:rPr>
          <w:rFonts w:ascii="Verdana"/>
          <w:sz w:val="12"/>
        </w:rPr>
        <w:t>postoperative patient-reported outcomes including analgesia: a systematic review. Anesth Analg. 2007 Sep; 105(3): 789-808.</w:t>
      </w:r>
    </w:p>
    <w:p>
      <w:pPr>
        <w:pStyle w:val="ListParagraph"/>
        <w:numPr>
          <w:ilvl w:val="0"/>
          <w:numId w:val="5"/>
        </w:numPr>
        <w:tabs>
          <w:tab w:pos="625" w:val="left" w:leader="none"/>
        </w:tabs>
        <w:spacing w:line="321" w:lineRule="auto" w:before="1" w:after="0"/>
        <w:ind w:left="397" w:right="40" w:firstLine="0"/>
        <w:jc w:val="both"/>
        <w:rPr>
          <w:sz w:val="12"/>
        </w:rPr>
      </w:pPr>
      <w:r>
        <w:rPr>
          <w:sz w:val="12"/>
        </w:rPr>
        <w:t>Schmid RL, Sandler AN, Katz J. Use and efficacy of low-dose ketamine in the management of acute postoperative pain: a review of current techniques and outcomes. Pain. 1999;</w:t>
      </w:r>
      <w:r>
        <w:rPr>
          <w:spacing w:val="-4"/>
          <w:sz w:val="12"/>
        </w:rPr>
        <w:t> </w:t>
      </w:r>
      <w:r>
        <w:rPr>
          <w:sz w:val="12"/>
        </w:rPr>
        <w:t>82:111-125.</w:t>
      </w:r>
    </w:p>
    <w:p>
      <w:pPr>
        <w:pStyle w:val="ListParagraph"/>
        <w:numPr>
          <w:ilvl w:val="0"/>
          <w:numId w:val="5"/>
        </w:numPr>
        <w:tabs>
          <w:tab w:pos="625" w:val="left" w:leader="none"/>
        </w:tabs>
        <w:spacing w:line="240" w:lineRule="auto" w:before="2" w:after="0"/>
        <w:ind w:left="624" w:right="0" w:hanging="228"/>
        <w:jc w:val="both"/>
        <w:rPr>
          <w:sz w:val="12"/>
        </w:rPr>
      </w:pPr>
      <w:r>
        <w:rPr>
          <w:sz w:val="12"/>
        </w:rPr>
        <w:t>Nimmo WS, Clements JA. Ketamine on-demand for</w:t>
      </w:r>
      <w:r>
        <w:rPr>
          <w:spacing w:val="35"/>
          <w:sz w:val="12"/>
        </w:rPr>
        <w:t> </w:t>
      </w:r>
      <w:r>
        <w:rPr>
          <w:sz w:val="12"/>
        </w:rPr>
        <w:t>postoperative</w:t>
      </w:r>
    </w:p>
    <w:p>
      <w:pPr>
        <w:spacing w:before="50"/>
        <w:ind w:left="397" w:right="0" w:firstLine="0"/>
        <w:jc w:val="both"/>
        <w:rPr>
          <w:rFonts w:ascii="Verdana"/>
          <w:sz w:val="12"/>
        </w:rPr>
      </w:pPr>
      <w:r>
        <w:rPr>
          <w:rFonts w:ascii="Verdana"/>
          <w:sz w:val="12"/>
        </w:rPr>
        <w:t>analgesia. Anaesthesia. 1981; 36:826.</w:t>
      </w:r>
    </w:p>
    <w:p>
      <w:pPr>
        <w:pStyle w:val="ListParagraph"/>
        <w:numPr>
          <w:ilvl w:val="0"/>
          <w:numId w:val="5"/>
        </w:numPr>
        <w:tabs>
          <w:tab w:pos="625" w:val="left" w:leader="none"/>
        </w:tabs>
        <w:spacing w:line="321" w:lineRule="auto" w:before="50" w:after="0"/>
        <w:ind w:left="397" w:right="39" w:firstLine="0"/>
        <w:jc w:val="both"/>
        <w:rPr>
          <w:sz w:val="12"/>
        </w:rPr>
      </w:pPr>
      <w:r>
        <w:rPr>
          <w:sz w:val="12"/>
        </w:rPr>
        <w:t>Mathisen</w:t>
      </w:r>
      <w:r>
        <w:rPr>
          <w:spacing w:val="-11"/>
          <w:sz w:val="12"/>
        </w:rPr>
        <w:t> </w:t>
      </w:r>
      <w:r>
        <w:rPr>
          <w:sz w:val="12"/>
        </w:rPr>
        <w:t>LC,</w:t>
      </w:r>
      <w:r>
        <w:rPr>
          <w:spacing w:val="-11"/>
          <w:sz w:val="12"/>
        </w:rPr>
        <w:t> </w:t>
      </w:r>
      <w:r>
        <w:rPr>
          <w:sz w:val="12"/>
        </w:rPr>
        <w:t>Aasbo</w:t>
      </w:r>
      <w:r>
        <w:rPr>
          <w:spacing w:val="-11"/>
          <w:sz w:val="12"/>
        </w:rPr>
        <w:t> </w:t>
      </w:r>
      <w:r>
        <w:rPr>
          <w:spacing w:val="-9"/>
          <w:sz w:val="12"/>
        </w:rPr>
        <w:t>V,</w:t>
      </w:r>
      <w:r>
        <w:rPr>
          <w:spacing w:val="-11"/>
          <w:sz w:val="12"/>
        </w:rPr>
        <w:t> </w:t>
      </w:r>
      <w:r>
        <w:rPr>
          <w:sz w:val="12"/>
        </w:rPr>
        <w:t>Raeder</w:t>
      </w:r>
      <w:r>
        <w:rPr>
          <w:spacing w:val="-11"/>
          <w:sz w:val="12"/>
        </w:rPr>
        <w:t> </w:t>
      </w:r>
      <w:r>
        <w:rPr>
          <w:sz w:val="12"/>
        </w:rPr>
        <w:t>J.</w:t>
      </w:r>
      <w:r>
        <w:rPr>
          <w:spacing w:val="-11"/>
          <w:sz w:val="12"/>
        </w:rPr>
        <w:t> </w:t>
      </w:r>
      <w:r>
        <w:rPr>
          <w:sz w:val="12"/>
        </w:rPr>
        <w:t>Lack</w:t>
      </w:r>
      <w:r>
        <w:rPr>
          <w:spacing w:val="-11"/>
          <w:sz w:val="12"/>
        </w:rPr>
        <w:t> </w:t>
      </w:r>
      <w:r>
        <w:rPr>
          <w:sz w:val="12"/>
        </w:rPr>
        <w:t>of</w:t>
      </w:r>
      <w:r>
        <w:rPr>
          <w:spacing w:val="-11"/>
          <w:sz w:val="12"/>
        </w:rPr>
        <w:t> </w:t>
      </w:r>
      <w:r>
        <w:rPr>
          <w:sz w:val="12"/>
        </w:rPr>
        <w:t>preemptive</w:t>
      </w:r>
      <w:r>
        <w:rPr>
          <w:spacing w:val="-11"/>
          <w:sz w:val="12"/>
        </w:rPr>
        <w:t> </w:t>
      </w:r>
      <w:r>
        <w:rPr>
          <w:sz w:val="12"/>
        </w:rPr>
        <w:t>analgesic</w:t>
      </w:r>
      <w:r>
        <w:rPr>
          <w:spacing w:val="-11"/>
          <w:sz w:val="12"/>
        </w:rPr>
        <w:t> </w:t>
      </w:r>
      <w:r>
        <w:rPr>
          <w:sz w:val="12"/>
        </w:rPr>
        <w:t>effect of (R)-ketamine in laparoscopic cholecystectomy. Acta Anaesthesiol Scand. 1999; 43:220-224.</w:t>
      </w:r>
    </w:p>
    <w:p>
      <w:pPr>
        <w:pStyle w:val="ListParagraph"/>
        <w:numPr>
          <w:ilvl w:val="0"/>
          <w:numId w:val="5"/>
        </w:numPr>
        <w:tabs>
          <w:tab w:pos="625" w:val="left" w:leader="none"/>
        </w:tabs>
        <w:spacing w:line="321" w:lineRule="auto" w:before="2" w:after="0"/>
        <w:ind w:left="397" w:right="42" w:firstLine="0"/>
        <w:jc w:val="both"/>
        <w:rPr>
          <w:sz w:val="12"/>
        </w:rPr>
      </w:pPr>
      <w:r>
        <w:rPr>
          <w:spacing w:val="-4"/>
          <w:sz w:val="12"/>
        </w:rPr>
        <w:t>Launo</w:t>
      </w:r>
      <w:r>
        <w:rPr>
          <w:spacing w:val="-13"/>
          <w:sz w:val="12"/>
        </w:rPr>
        <w:t> </w:t>
      </w:r>
      <w:r>
        <w:rPr>
          <w:sz w:val="12"/>
        </w:rPr>
        <w:t>C,</w:t>
      </w:r>
      <w:r>
        <w:rPr>
          <w:spacing w:val="-13"/>
          <w:sz w:val="12"/>
        </w:rPr>
        <w:t> </w:t>
      </w:r>
      <w:r>
        <w:rPr>
          <w:spacing w:val="-4"/>
          <w:sz w:val="12"/>
        </w:rPr>
        <w:t>Bassi</w:t>
      </w:r>
      <w:r>
        <w:rPr>
          <w:spacing w:val="-14"/>
          <w:sz w:val="12"/>
        </w:rPr>
        <w:t> </w:t>
      </w:r>
      <w:r>
        <w:rPr>
          <w:sz w:val="12"/>
        </w:rPr>
        <w:t>C,</w:t>
      </w:r>
      <w:r>
        <w:rPr>
          <w:spacing w:val="-13"/>
          <w:sz w:val="12"/>
        </w:rPr>
        <w:t> </w:t>
      </w:r>
      <w:r>
        <w:rPr>
          <w:spacing w:val="-4"/>
          <w:sz w:val="12"/>
        </w:rPr>
        <w:t>Spagnolo</w:t>
      </w:r>
      <w:r>
        <w:rPr>
          <w:spacing w:val="-13"/>
          <w:sz w:val="12"/>
        </w:rPr>
        <w:t> </w:t>
      </w:r>
      <w:r>
        <w:rPr>
          <w:sz w:val="12"/>
        </w:rPr>
        <w:t>L,</w:t>
      </w:r>
      <w:r>
        <w:rPr>
          <w:spacing w:val="-13"/>
          <w:sz w:val="12"/>
        </w:rPr>
        <w:t> </w:t>
      </w:r>
      <w:r>
        <w:rPr>
          <w:sz w:val="12"/>
        </w:rPr>
        <w:t>et</w:t>
      </w:r>
      <w:r>
        <w:rPr>
          <w:spacing w:val="-13"/>
          <w:sz w:val="12"/>
        </w:rPr>
        <w:t> </w:t>
      </w:r>
      <w:r>
        <w:rPr>
          <w:spacing w:val="-3"/>
          <w:sz w:val="12"/>
        </w:rPr>
        <w:t>al.</w:t>
      </w:r>
      <w:r>
        <w:rPr>
          <w:spacing w:val="-13"/>
          <w:sz w:val="12"/>
        </w:rPr>
        <w:t> </w:t>
      </w:r>
      <w:r>
        <w:rPr>
          <w:spacing w:val="-4"/>
          <w:sz w:val="12"/>
        </w:rPr>
        <w:t>Preemptive</w:t>
      </w:r>
      <w:r>
        <w:rPr>
          <w:spacing w:val="-13"/>
          <w:sz w:val="12"/>
        </w:rPr>
        <w:t> </w:t>
      </w:r>
      <w:r>
        <w:rPr>
          <w:spacing w:val="-4"/>
          <w:sz w:val="12"/>
        </w:rPr>
        <w:t>ketamin</w:t>
      </w:r>
      <w:r>
        <w:rPr>
          <w:spacing w:val="-13"/>
          <w:sz w:val="12"/>
        </w:rPr>
        <w:t> </w:t>
      </w:r>
      <w:r>
        <w:rPr>
          <w:spacing w:val="-4"/>
          <w:sz w:val="12"/>
        </w:rPr>
        <w:t>during</w:t>
      </w:r>
      <w:r>
        <w:rPr>
          <w:spacing w:val="-13"/>
          <w:sz w:val="12"/>
        </w:rPr>
        <w:t> </w:t>
      </w:r>
      <w:r>
        <w:rPr>
          <w:spacing w:val="-5"/>
          <w:sz w:val="12"/>
        </w:rPr>
        <w:t>general </w:t>
      </w:r>
      <w:r>
        <w:rPr>
          <w:spacing w:val="-4"/>
          <w:sz w:val="12"/>
        </w:rPr>
        <w:t>anesthesia </w:t>
      </w:r>
      <w:r>
        <w:rPr>
          <w:spacing w:val="-3"/>
          <w:sz w:val="12"/>
        </w:rPr>
        <w:t>for </w:t>
      </w:r>
      <w:r>
        <w:rPr>
          <w:spacing w:val="-4"/>
          <w:sz w:val="12"/>
        </w:rPr>
        <w:t>postoperative analgesia </w:t>
      </w:r>
      <w:r>
        <w:rPr>
          <w:sz w:val="12"/>
        </w:rPr>
        <w:t>in </w:t>
      </w:r>
      <w:r>
        <w:rPr>
          <w:spacing w:val="-4"/>
          <w:sz w:val="12"/>
        </w:rPr>
        <w:t>patients undergoing laparoscopic </w:t>
      </w:r>
      <w:r>
        <w:rPr>
          <w:spacing w:val="-5"/>
          <w:sz w:val="12"/>
        </w:rPr>
        <w:t>cholecystectomy. </w:t>
      </w:r>
      <w:r>
        <w:rPr>
          <w:spacing w:val="-4"/>
          <w:sz w:val="12"/>
        </w:rPr>
        <w:t>Minerva Anestesiol. </w:t>
      </w:r>
      <w:r>
        <w:rPr>
          <w:spacing w:val="-3"/>
          <w:sz w:val="12"/>
        </w:rPr>
        <w:t>2004 Oct;</w:t>
      </w:r>
      <w:r>
        <w:rPr>
          <w:spacing w:val="-21"/>
          <w:sz w:val="12"/>
        </w:rPr>
        <w:t> </w:t>
      </w:r>
      <w:r>
        <w:rPr>
          <w:spacing w:val="-4"/>
          <w:sz w:val="12"/>
        </w:rPr>
        <w:t>70(10):727-34.</w:t>
      </w:r>
    </w:p>
    <w:p>
      <w:pPr>
        <w:pStyle w:val="ListParagraph"/>
        <w:numPr>
          <w:ilvl w:val="0"/>
          <w:numId w:val="5"/>
        </w:numPr>
        <w:tabs>
          <w:tab w:pos="625" w:val="left" w:leader="none"/>
        </w:tabs>
        <w:spacing w:line="321" w:lineRule="auto" w:before="1" w:after="0"/>
        <w:ind w:left="397" w:right="40" w:firstLine="0"/>
        <w:jc w:val="both"/>
        <w:rPr>
          <w:sz w:val="12"/>
        </w:rPr>
      </w:pPr>
      <w:r>
        <w:rPr>
          <w:sz w:val="12"/>
        </w:rPr>
        <w:t>Lauretti GR, Azevedo VM. Intravenous ketamine or fentanyl prolongs</w:t>
      </w:r>
      <w:r>
        <w:rPr>
          <w:spacing w:val="-11"/>
          <w:sz w:val="12"/>
        </w:rPr>
        <w:t> </w:t>
      </w:r>
      <w:r>
        <w:rPr>
          <w:sz w:val="12"/>
        </w:rPr>
        <w:t>postoperative</w:t>
      </w:r>
      <w:r>
        <w:rPr>
          <w:spacing w:val="-10"/>
          <w:sz w:val="12"/>
        </w:rPr>
        <w:t> </w:t>
      </w:r>
      <w:r>
        <w:rPr>
          <w:sz w:val="12"/>
        </w:rPr>
        <w:t>analgesia</w:t>
      </w:r>
      <w:r>
        <w:rPr>
          <w:spacing w:val="-10"/>
          <w:sz w:val="12"/>
        </w:rPr>
        <w:t> </w:t>
      </w:r>
      <w:r>
        <w:rPr>
          <w:sz w:val="12"/>
        </w:rPr>
        <w:t>after</w:t>
      </w:r>
      <w:r>
        <w:rPr>
          <w:spacing w:val="-10"/>
          <w:sz w:val="12"/>
        </w:rPr>
        <w:t> </w:t>
      </w:r>
      <w:r>
        <w:rPr>
          <w:sz w:val="12"/>
        </w:rPr>
        <w:t>intrethecal</w:t>
      </w:r>
      <w:r>
        <w:rPr>
          <w:spacing w:val="-11"/>
          <w:sz w:val="12"/>
        </w:rPr>
        <w:t> </w:t>
      </w:r>
      <w:r>
        <w:rPr>
          <w:sz w:val="12"/>
        </w:rPr>
        <w:t>neostigmine.</w:t>
      </w:r>
      <w:r>
        <w:rPr>
          <w:spacing w:val="-10"/>
          <w:sz w:val="12"/>
        </w:rPr>
        <w:t> </w:t>
      </w:r>
      <w:r>
        <w:rPr>
          <w:sz w:val="12"/>
        </w:rPr>
        <w:t>Anesth Analg. 1996 Oct;</w:t>
      </w:r>
      <w:r>
        <w:rPr>
          <w:spacing w:val="-1"/>
          <w:sz w:val="12"/>
        </w:rPr>
        <w:t> </w:t>
      </w:r>
      <w:r>
        <w:rPr>
          <w:sz w:val="12"/>
        </w:rPr>
        <w:t>83(4):766-70.</w:t>
      </w:r>
    </w:p>
    <w:p>
      <w:pPr>
        <w:pStyle w:val="ListParagraph"/>
        <w:numPr>
          <w:ilvl w:val="0"/>
          <w:numId w:val="5"/>
        </w:numPr>
        <w:tabs>
          <w:tab w:pos="625" w:val="left" w:leader="none"/>
        </w:tabs>
        <w:spacing w:line="321" w:lineRule="auto" w:before="2" w:after="0"/>
        <w:ind w:left="397" w:right="40" w:firstLine="0"/>
        <w:jc w:val="both"/>
        <w:rPr>
          <w:sz w:val="12"/>
        </w:rPr>
      </w:pPr>
      <w:r>
        <w:rPr>
          <w:sz w:val="12"/>
        </w:rPr>
        <w:t>Schmid R, Koren G, Klein J, et al. The stability of a ketamine- morphine solution. Anesth Analg. 2002; 94(4):898-900.</w:t>
      </w:r>
    </w:p>
    <w:p>
      <w:pPr>
        <w:pStyle w:val="ListParagraph"/>
        <w:numPr>
          <w:ilvl w:val="0"/>
          <w:numId w:val="5"/>
        </w:numPr>
        <w:tabs>
          <w:tab w:pos="625" w:val="left" w:leader="none"/>
        </w:tabs>
        <w:spacing w:line="321" w:lineRule="auto" w:before="1" w:after="0"/>
        <w:ind w:left="397" w:right="39" w:firstLine="0"/>
        <w:jc w:val="both"/>
        <w:rPr>
          <w:sz w:val="12"/>
        </w:rPr>
      </w:pPr>
      <w:r>
        <w:rPr>
          <w:sz w:val="12"/>
        </w:rPr>
        <w:t>Javery KB, Ussery </w:t>
      </w:r>
      <w:r>
        <w:rPr>
          <w:spacing w:val="-7"/>
          <w:sz w:val="12"/>
        </w:rPr>
        <w:t>TW, </w:t>
      </w:r>
      <w:r>
        <w:rPr>
          <w:sz w:val="12"/>
        </w:rPr>
        <w:t>Steger HG, et al. Comparison of morphine and morphine with ketamine for postoperative analgesia. Can J Anaesth. 1996; 43:212-215.</w:t>
      </w:r>
    </w:p>
    <w:p>
      <w:pPr>
        <w:pStyle w:val="ListParagraph"/>
        <w:numPr>
          <w:ilvl w:val="0"/>
          <w:numId w:val="5"/>
        </w:numPr>
        <w:tabs>
          <w:tab w:pos="625" w:val="left" w:leader="none"/>
        </w:tabs>
        <w:spacing w:line="321" w:lineRule="auto" w:before="2" w:after="0"/>
        <w:ind w:left="397" w:right="39" w:firstLine="0"/>
        <w:jc w:val="both"/>
        <w:rPr>
          <w:sz w:val="12"/>
        </w:rPr>
      </w:pPr>
      <w:r>
        <w:rPr>
          <w:sz w:val="12"/>
        </w:rPr>
        <w:t>Gurnani A, Sharma PK, Rautela RS, et al. Analgesia for acute musculoskeletal</w:t>
      </w:r>
      <w:r>
        <w:rPr>
          <w:spacing w:val="-7"/>
          <w:sz w:val="12"/>
        </w:rPr>
        <w:t> </w:t>
      </w:r>
      <w:r>
        <w:rPr>
          <w:sz w:val="12"/>
        </w:rPr>
        <w:t>trauma:</w:t>
      </w:r>
      <w:r>
        <w:rPr>
          <w:spacing w:val="-6"/>
          <w:sz w:val="12"/>
        </w:rPr>
        <w:t> </w:t>
      </w:r>
      <w:r>
        <w:rPr>
          <w:sz w:val="12"/>
        </w:rPr>
        <w:t>low-dose</w:t>
      </w:r>
      <w:r>
        <w:rPr>
          <w:spacing w:val="-8"/>
          <w:sz w:val="12"/>
        </w:rPr>
        <w:t> </w:t>
      </w:r>
      <w:r>
        <w:rPr>
          <w:sz w:val="12"/>
        </w:rPr>
        <w:t>subcutaneous</w:t>
      </w:r>
      <w:r>
        <w:rPr>
          <w:spacing w:val="-7"/>
          <w:sz w:val="12"/>
        </w:rPr>
        <w:t> </w:t>
      </w:r>
      <w:r>
        <w:rPr>
          <w:sz w:val="12"/>
        </w:rPr>
        <w:t>infusion</w:t>
      </w:r>
      <w:r>
        <w:rPr>
          <w:spacing w:val="-8"/>
          <w:sz w:val="12"/>
        </w:rPr>
        <w:t> </w:t>
      </w:r>
      <w:r>
        <w:rPr>
          <w:sz w:val="12"/>
        </w:rPr>
        <w:t>of</w:t>
      </w:r>
      <w:r>
        <w:rPr>
          <w:spacing w:val="-7"/>
          <w:sz w:val="12"/>
        </w:rPr>
        <w:t> </w:t>
      </w:r>
      <w:r>
        <w:rPr>
          <w:sz w:val="12"/>
        </w:rPr>
        <w:t>ketamine. Anaesth Intensive Care. 1996;</w:t>
      </w:r>
      <w:r>
        <w:rPr>
          <w:spacing w:val="-1"/>
          <w:sz w:val="12"/>
        </w:rPr>
        <w:t> </w:t>
      </w:r>
      <w:r>
        <w:rPr>
          <w:sz w:val="12"/>
        </w:rPr>
        <w:t>24:32-36.</w:t>
      </w:r>
    </w:p>
    <w:p>
      <w:pPr>
        <w:pStyle w:val="ListParagraph"/>
        <w:numPr>
          <w:ilvl w:val="0"/>
          <w:numId w:val="5"/>
        </w:numPr>
        <w:tabs>
          <w:tab w:pos="625" w:val="left" w:leader="none"/>
        </w:tabs>
        <w:spacing w:line="321" w:lineRule="auto" w:before="1" w:after="0"/>
        <w:ind w:left="397" w:right="40" w:firstLine="0"/>
        <w:jc w:val="both"/>
        <w:rPr>
          <w:sz w:val="12"/>
        </w:rPr>
      </w:pPr>
      <w:r>
        <w:rPr>
          <w:sz w:val="12"/>
        </w:rPr>
        <w:t>Menigaux C, Fletcher D, Dupont X, et al. The benefits of intraoperative small-dose ketamine on postoperative pain after anterior cruciate ligament </w:t>
      </w:r>
      <w:r>
        <w:rPr>
          <w:spacing w:val="-3"/>
          <w:sz w:val="12"/>
        </w:rPr>
        <w:t>repair. </w:t>
      </w:r>
      <w:r>
        <w:rPr>
          <w:sz w:val="12"/>
        </w:rPr>
        <w:t>Anesth Analg. 2000;</w:t>
      </w:r>
      <w:r>
        <w:rPr>
          <w:spacing w:val="-1"/>
          <w:sz w:val="12"/>
        </w:rPr>
        <w:t> </w:t>
      </w:r>
      <w:r>
        <w:rPr>
          <w:sz w:val="12"/>
        </w:rPr>
        <w:t>90:129–35.</w:t>
      </w:r>
    </w:p>
    <w:p>
      <w:pPr>
        <w:pStyle w:val="ListParagraph"/>
        <w:numPr>
          <w:ilvl w:val="0"/>
          <w:numId w:val="5"/>
        </w:numPr>
        <w:tabs>
          <w:tab w:pos="625" w:val="left" w:leader="none"/>
        </w:tabs>
        <w:spacing w:line="321" w:lineRule="auto" w:before="2" w:after="0"/>
        <w:ind w:left="397" w:right="39" w:firstLine="0"/>
        <w:jc w:val="both"/>
        <w:rPr>
          <w:sz w:val="12"/>
        </w:rPr>
      </w:pPr>
      <w:r>
        <w:rPr>
          <w:sz w:val="12"/>
        </w:rPr>
        <w:t>Menigaux C, Guignard B, Fletcher D, et al. Intraoperative small- dose ketamine enhances analgesia after outpatient knee arthroscopy. Anesth Analg. 2001; 93:606 –12.</w:t>
      </w:r>
    </w:p>
    <w:p>
      <w:pPr>
        <w:pStyle w:val="ListParagraph"/>
        <w:numPr>
          <w:ilvl w:val="0"/>
          <w:numId w:val="5"/>
        </w:numPr>
        <w:tabs>
          <w:tab w:pos="625" w:val="left" w:leader="none"/>
        </w:tabs>
        <w:spacing w:line="321" w:lineRule="auto" w:before="1" w:after="0"/>
        <w:ind w:left="397" w:right="40" w:firstLine="0"/>
        <w:jc w:val="both"/>
        <w:rPr>
          <w:sz w:val="12"/>
        </w:rPr>
      </w:pPr>
      <w:r>
        <w:rPr>
          <w:sz w:val="12"/>
        </w:rPr>
        <w:t>Guignard B, Coste C, Costes H, et al. Supplementing desflurane- remifentanil</w:t>
      </w:r>
      <w:r>
        <w:rPr>
          <w:spacing w:val="-18"/>
          <w:sz w:val="12"/>
        </w:rPr>
        <w:t> </w:t>
      </w:r>
      <w:r>
        <w:rPr>
          <w:sz w:val="12"/>
        </w:rPr>
        <w:t>anesthesia</w:t>
      </w:r>
      <w:r>
        <w:rPr>
          <w:spacing w:val="-18"/>
          <w:sz w:val="12"/>
        </w:rPr>
        <w:t> </w:t>
      </w:r>
      <w:r>
        <w:rPr>
          <w:sz w:val="12"/>
        </w:rPr>
        <w:t>with</w:t>
      </w:r>
      <w:r>
        <w:rPr>
          <w:spacing w:val="-17"/>
          <w:sz w:val="12"/>
        </w:rPr>
        <w:t> </w:t>
      </w:r>
      <w:r>
        <w:rPr>
          <w:sz w:val="12"/>
        </w:rPr>
        <w:t>small-dose</w:t>
      </w:r>
      <w:r>
        <w:rPr>
          <w:spacing w:val="-18"/>
          <w:sz w:val="12"/>
        </w:rPr>
        <w:t> </w:t>
      </w:r>
      <w:r>
        <w:rPr>
          <w:sz w:val="12"/>
        </w:rPr>
        <w:t>ketamine</w:t>
      </w:r>
      <w:r>
        <w:rPr>
          <w:spacing w:val="-18"/>
          <w:sz w:val="12"/>
        </w:rPr>
        <w:t> </w:t>
      </w:r>
      <w:r>
        <w:rPr>
          <w:sz w:val="12"/>
        </w:rPr>
        <w:t>reduces</w:t>
      </w:r>
      <w:r>
        <w:rPr>
          <w:spacing w:val="-17"/>
          <w:sz w:val="12"/>
        </w:rPr>
        <w:t> </w:t>
      </w:r>
      <w:r>
        <w:rPr>
          <w:spacing w:val="-3"/>
          <w:sz w:val="12"/>
        </w:rPr>
        <w:t>perioperative </w:t>
      </w:r>
      <w:r>
        <w:rPr>
          <w:sz w:val="12"/>
        </w:rPr>
        <w:t>opioid</w:t>
      </w:r>
      <w:r>
        <w:rPr>
          <w:spacing w:val="-8"/>
          <w:sz w:val="12"/>
        </w:rPr>
        <w:t> </w:t>
      </w:r>
      <w:r>
        <w:rPr>
          <w:sz w:val="12"/>
        </w:rPr>
        <w:t>analgesic</w:t>
      </w:r>
      <w:r>
        <w:rPr>
          <w:spacing w:val="-8"/>
          <w:sz w:val="12"/>
        </w:rPr>
        <w:t> </w:t>
      </w:r>
      <w:r>
        <w:rPr>
          <w:sz w:val="12"/>
        </w:rPr>
        <w:t>requirements.</w:t>
      </w:r>
      <w:r>
        <w:rPr>
          <w:spacing w:val="-8"/>
          <w:sz w:val="12"/>
        </w:rPr>
        <w:t> </w:t>
      </w:r>
      <w:r>
        <w:rPr>
          <w:sz w:val="12"/>
        </w:rPr>
        <w:t>Anesth</w:t>
      </w:r>
      <w:r>
        <w:rPr>
          <w:spacing w:val="-7"/>
          <w:sz w:val="12"/>
        </w:rPr>
        <w:t> </w:t>
      </w:r>
      <w:r>
        <w:rPr>
          <w:sz w:val="12"/>
        </w:rPr>
        <w:t>Analg.</w:t>
      </w:r>
      <w:r>
        <w:rPr>
          <w:spacing w:val="-8"/>
          <w:sz w:val="12"/>
        </w:rPr>
        <w:t> </w:t>
      </w:r>
      <w:r>
        <w:rPr>
          <w:sz w:val="12"/>
        </w:rPr>
        <w:t>2002;</w:t>
      </w:r>
      <w:r>
        <w:rPr>
          <w:spacing w:val="-8"/>
          <w:sz w:val="12"/>
        </w:rPr>
        <w:t> </w:t>
      </w:r>
      <w:r>
        <w:rPr>
          <w:sz w:val="12"/>
        </w:rPr>
        <w:t>95:103–</w:t>
      </w:r>
      <w:r>
        <w:rPr>
          <w:spacing w:val="-7"/>
          <w:sz w:val="12"/>
        </w:rPr>
        <w:t> </w:t>
      </w:r>
      <w:r>
        <w:rPr>
          <w:sz w:val="12"/>
        </w:rPr>
        <w:t>8.</w:t>
      </w:r>
    </w:p>
    <w:p>
      <w:pPr>
        <w:pStyle w:val="ListParagraph"/>
        <w:numPr>
          <w:ilvl w:val="0"/>
          <w:numId w:val="5"/>
        </w:numPr>
        <w:tabs>
          <w:tab w:pos="625" w:val="left" w:leader="none"/>
        </w:tabs>
        <w:spacing w:line="321" w:lineRule="auto" w:before="100" w:after="0"/>
        <w:ind w:left="397" w:right="299" w:firstLine="0"/>
        <w:jc w:val="both"/>
        <w:rPr>
          <w:sz w:val="12"/>
        </w:rPr>
      </w:pPr>
      <w:r>
        <w:rPr>
          <w:spacing w:val="-5"/>
          <w:sz w:val="12"/>
        </w:rPr>
        <w:br w:type="column"/>
        <w:t>Guillou </w:t>
      </w:r>
      <w:r>
        <w:rPr>
          <w:spacing w:val="-3"/>
          <w:sz w:val="12"/>
        </w:rPr>
        <w:t>N, </w:t>
      </w:r>
      <w:r>
        <w:rPr>
          <w:spacing w:val="-7"/>
          <w:sz w:val="12"/>
        </w:rPr>
        <w:t>Tanguy </w:t>
      </w:r>
      <w:r>
        <w:rPr>
          <w:spacing w:val="-3"/>
          <w:sz w:val="12"/>
        </w:rPr>
        <w:t>M, </w:t>
      </w:r>
      <w:r>
        <w:rPr>
          <w:spacing w:val="-5"/>
          <w:sz w:val="12"/>
        </w:rPr>
        <w:t>Seguin </w:t>
      </w:r>
      <w:r>
        <w:rPr>
          <w:spacing w:val="-12"/>
          <w:sz w:val="12"/>
        </w:rPr>
        <w:t>P, </w:t>
      </w:r>
      <w:r>
        <w:rPr>
          <w:spacing w:val="-3"/>
          <w:sz w:val="12"/>
        </w:rPr>
        <w:t>et </w:t>
      </w:r>
      <w:r>
        <w:rPr>
          <w:spacing w:val="-4"/>
          <w:sz w:val="12"/>
        </w:rPr>
        <w:t>al. The </w:t>
      </w:r>
      <w:r>
        <w:rPr>
          <w:spacing w:val="-5"/>
          <w:sz w:val="12"/>
        </w:rPr>
        <w:t>effects </w:t>
      </w:r>
      <w:r>
        <w:rPr>
          <w:spacing w:val="-3"/>
          <w:sz w:val="12"/>
        </w:rPr>
        <w:t>of </w:t>
      </w:r>
      <w:r>
        <w:rPr>
          <w:spacing w:val="-5"/>
          <w:sz w:val="12"/>
        </w:rPr>
        <w:t>small-dose ketamine </w:t>
      </w:r>
      <w:r>
        <w:rPr>
          <w:spacing w:val="-3"/>
          <w:sz w:val="12"/>
        </w:rPr>
        <w:t>on </w:t>
      </w:r>
      <w:r>
        <w:rPr>
          <w:spacing w:val="-5"/>
          <w:sz w:val="12"/>
        </w:rPr>
        <w:t>morphine consumption </w:t>
      </w:r>
      <w:r>
        <w:rPr>
          <w:spacing w:val="-3"/>
          <w:sz w:val="12"/>
        </w:rPr>
        <w:t>in </w:t>
      </w:r>
      <w:r>
        <w:rPr>
          <w:spacing w:val="-5"/>
          <w:sz w:val="12"/>
        </w:rPr>
        <w:t>surgical intensive </w:t>
      </w:r>
      <w:r>
        <w:rPr>
          <w:spacing w:val="-4"/>
          <w:sz w:val="12"/>
        </w:rPr>
        <w:t>care </w:t>
      </w:r>
      <w:r>
        <w:rPr>
          <w:spacing w:val="-5"/>
          <w:sz w:val="12"/>
        </w:rPr>
        <w:t>unit patients </w:t>
      </w:r>
      <w:r>
        <w:rPr>
          <w:spacing w:val="-4"/>
          <w:sz w:val="12"/>
        </w:rPr>
        <w:t>after major </w:t>
      </w:r>
      <w:r>
        <w:rPr>
          <w:spacing w:val="-5"/>
          <w:sz w:val="12"/>
        </w:rPr>
        <w:t>abdominal </w:t>
      </w:r>
      <w:r>
        <w:rPr>
          <w:spacing w:val="-6"/>
          <w:sz w:val="12"/>
        </w:rPr>
        <w:t>surgery. </w:t>
      </w:r>
      <w:r>
        <w:rPr>
          <w:spacing w:val="-5"/>
          <w:sz w:val="12"/>
        </w:rPr>
        <w:t>Anesth Analg. </w:t>
      </w:r>
      <w:r>
        <w:rPr>
          <w:spacing w:val="-4"/>
          <w:sz w:val="12"/>
        </w:rPr>
        <w:t>2003;</w:t>
      </w:r>
      <w:r>
        <w:rPr>
          <w:spacing w:val="-27"/>
          <w:sz w:val="12"/>
        </w:rPr>
        <w:t> </w:t>
      </w:r>
      <w:r>
        <w:rPr>
          <w:spacing w:val="-5"/>
          <w:sz w:val="12"/>
        </w:rPr>
        <w:t>97:843–7.</w:t>
      </w:r>
    </w:p>
    <w:p>
      <w:pPr>
        <w:pStyle w:val="ListParagraph"/>
        <w:numPr>
          <w:ilvl w:val="0"/>
          <w:numId w:val="5"/>
        </w:numPr>
        <w:tabs>
          <w:tab w:pos="625" w:val="left" w:leader="none"/>
        </w:tabs>
        <w:spacing w:line="321" w:lineRule="auto" w:before="1" w:after="0"/>
        <w:ind w:left="397" w:right="294" w:firstLine="0"/>
        <w:jc w:val="both"/>
        <w:rPr>
          <w:sz w:val="12"/>
        </w:rPr>
      </w:pPr>
      <w:r>
        <w:rPr>
          <w:sz w:val="12"/>
        </w:rPr>
        <w:t>Elhakim</w:t>
      </w:r>
      <w:r>
        <w:rPr>
          <w:spacing w:val="-7"/>
          <w:sz w:val="12"/>
        </w:rPr>
        <w:t> </w:t>
      </w:r>
      <w:r>
        <w:rPr>
          <w:sz w:val="12"/>
        </w:rPr>
        <w:t>M,</w:t>
      </w:r>
      <w:r>
        <w:rPr>
          <w:spacing w:val="-6"/>
          <w:sz w:val="12"/>
        </w:rPr>
        <w:t> </w:t>
      </w:r>
      <w:r>
        <w:rPr>
          <w:sz w:val="12"/>
        </w:rPr>
        <w:t>Khalafallah</w:t>
      </w:r>
      <w:r>
        <w:rPr>
          <w:spacing w:val="-7"/>
          <w:sz w:val="12"/>
        </w:rPr>
        <w:t> </w:t>
      </w:r>
      <w:r>
        <w:rPr>
          <w:sz w:val="12"/>
        </w:rPr>
        <w:t>Z,</w:t>
      </w:r>
      <w:r>
        <w:rPr>
          <w:spacing w:val="-6"/>
          <w:sz w:val="12"/>
        </w:rPr>
        <w:t> </w:t>
      </w:r>
      <w:r>
        <w:rPr>
          <w:sz w:val="12"/>
        </w:rPr>
        <w:t>El-Fattah</w:t>
      </w:r>
      <w:r>
        <w:rPr>
          <w:spacing w:val="-6"/>
          <w:sz w:val="12"/>
        </w:rPr>
        <w:t> </w:t>
      </w:r>
      <w:r>
        <w:rPr>
          <w:sz w:val="12"/>
        </w:rPr>
        <w:t>HA,</w:t>
      </w:r>
      <w:r>
        <w:rPr>
          <w:spacing w:val="-7"/>
          <w:sz w:val="12"/>
        </w:rPr>
        <w:t> </w:t>
      </w:r>
      <w:r>
        <w:rPr>
          <w:sz w:val="12"/>
        </w:rPr>
        <w:t>et</w:t>
      </w:r>
      <w:r>
        <w:rPr>
          <w:spacing w:val="-6"/>
          <w:sz w:val="12"/>
        </w:rPr>
        <w:t> </w:t>
      </w:r>
      <w:r>
        <w:rPr>
          <w:sz w:val="12"/>
        </w:rPr>
        <w:t>al.</w:t>
      </w:r>
      <w:r>
        <w:rPr>
          <w:spacing w:val="-7"/>
          <w:sz w:val="12"/>
        </w:rPr>
        <w:t> </w:t>
      </w:r>
      <w:r>
        <w:rPr>
          <w:sz w:val="12"/>
        </w:rPr>
        <w:t>Ketamine</w:t>
      </w:r>
      <w:r>
        <w:rPr>
          <w:spacing w:val="-6"/>
          <w:sz w:val="12"/>
        </w:rPr>
        <w:t> </w:t>
      </w:r>
      <w:r>
        <w:rPr>
          <w:sz w:val="12"/>
        </w:rPr>
        <w:t>reduces swallowing-evoked pain after paediatric tonsillectomy. Acta Anaesthesiol Scand. 2003; 47:604 –9.</w:t>
      </w:r>
    </w:p>
    <w:p>
      <w:pPr>
        <w:pStyle w:val="ListParagraph"/>
        <w:numPr>
          <w:ilvl w:val="0"/>
          <w:numId w:val="5"/>
        </w:numPr>
        <w:tabs>
          <w:tab w:pos="625" w:val="left" w:leader="none"/>
        </w:tabs>
        <w:spacing w:line="321" w:lineRule="auto" w:before="2" w:after="0"/>
        <w:ind w:left="397" w:right="296" w:firstLine="0"/>
        <w:jc w:val="both"/>
        <w:rPr>
          <w:sz w:val="12"/>
        </w:rPr>
      </w:pPr>
      <w:r>
        <w:rPr>
          <w:spacing w:val="-7"/>
          <w:sz w:val="12"/>
        </w:rPr>
        <w:t>Taura </w:t>
      </w:r>
      <w:r>
        <w:rPr>
          <w:spacing w:val="-11"/>
          <w:sz w:val="12"/>
        </w:rPr>
        <w:t>P, </w:t>
      </w:r>
      <w:r>
        <w:rPr>
          <w:spacing w:val="-4"/>
          <w:sz w:val="12"/>
        </w:rPr>
        <w:t>Fuster </w:t>
      </w:r>
      <w:r>
        <w:rPr>
          <w:spacing w:val="-3"/>
          <w:sz w:val="12"/>
        </w:rPr>
        <w:t>J, </w:t>
      </w:r>
      <w:r>
        <w:rPr>
          <w:spacing w:val="-4"/>
          <w:sz w:val="12"/>
        </w:rPr>
        <w:t>Blasi </w:t>
      </w:r>
      <w:r>
        <w:rPr>
          <w:sz w:val="12"/>
        </w:rPr>
        <w:t>A, et </w:t>
      </w:r>
      <w:r>
        <w:rPr>
          <w:spacing w:val="-3"/>
          <w:sz w:val="12"/>
        </w:rPr>
        <w:t>al. </w:t>
      </w:r>
      <w:r>
        <w:rPr>
          <w:spacing w:val="-5"/>
          <w:sz w:val="12"/>
        </w:rPr>
        <w:t>Postoperative </w:t>
      </w:r>
      <w:r>
        <w:rPr>
          <w:spacing w:val="-3"/>
          <w:sz w:val="12"/>
        </w:rPr>
        <w:t>pain </w:t>
      </w:r>
      <w:r>
        <w:rPr>
          <w:spacing w:val="-4"/>
          <w:sz w:val="12"/>
        </w:rPr>
        <w:t>relief after hepatic</w:t>
      </w:r>
      <w:r>
        <w:rPr>
          <w:spacing w:val="-12"/>
          <w:sz w:val="12"/>
        </w:rPr>
        <w:t> </w:t>
      </w:r>
      <w:r>
        <w:rPr>
          <w:spacing w:val="-4"/>
          <w:sz w:val="12"/>
        </w:rPr>
        <w:t>resection</w:t>
      </w:r>
      <w:r>
        <w:rPr>
          <w:spacing w:val="-12"/>
          <w:sz w:val="12"/>
        </w:rPr>
        <w:t> </w:t>
      </w:r>
      <w:r>
        <w:rPr>
          <w:sz w:val="12"/>
        </w:rPr>
        <w:t>in</w:t>
      </w:r>
      <w:r>
        <w:rPr>
          <w:spacing w:val="-11"/>
          <w:sz w:val="12"/>
        </w:rPr>
        <w:t> </w:t>
      </w:r>
      <w:r>
        <w:rPr>
          <w:spacing w:val="-4"/>
          <w:sz w:val="12"/>
        </w:rPr>
        <w:t>cirrhotic</w:t>
      </w:r>
      <w:r>
        <w:rPr>
          <w:spacing w:val="-12"/>
          <w:sz w:val="12"/>
        </w:rPr>
        <w:t> </w:t>
      </w:r>
      <w:r>
        <w:rPr>
          <w:spacing w:val="-4"/>
          <w:sz w:val="12"/>
        </w:rPr>
        <w:t>patients:</w:t>
      </w:r>
      <w:r>
        <w:rPr>
          <w:spacing w:val="-12"/>
          <w:sz w:val="12"/>
        </w:rPr>
        <w:t> </w:t>
      </w:r>
      <w:r>
        <w:rPr>
          <w:spacing w:val="-3"/>
          <w:sz w:val="12"/>
        </w:rPr>
        <w:t>the</w:t>
      </w:r>
      <w:r>
        <w:rPr>
          <w:spacing w:val="-11"/>
          <w:sz w:val="12"/>
        </w:rPr>
        <w:t> </w:t>
      </w:r>
      <w:r>
        <w:rPr>
          <w:spacing w:val="-3"/>
          <w:sz w:val="12"/>
        </w:rPr>
        <w:t>efficacy</w:t>
      </w:r>
      <w:r>
        <w:rPr>
          <w:spacing w:val="-12"/>
          <w:sz w:val="12"/>
        </w:rPr>
        <w:t> </w:t>
      </w:r>
      <w:r>
        <w:rPr>
          <w:sz w:val="12"/>
        </w:rPr>
        <w:t>of</w:t>
      </w:r>
      <w:r>
        <w:rPr>
          <w:spacing w:val="-11"/>
          <w:sz w:val="12"/>
        </w:rPr>
        <w:t> </w:t>
      </w:r>
      <w:r>
        <w:rPr>
          <w:sz w:val="12"/>
        </w:rPr>
        <w:t>a</w:t>
      </w:r>
      <w:r>
        <w:rPr>
          <w:spacing w:val="-12"/>
          <w:sz w:val="12"/>
        </w:rPr>
        <w:t> </w:t>
      </w:r>
      <w:r>
        <w:rPr>
          <w:spacing w:val="-4"/>
          <w:sz w:val="12"/>
        </w:rPr>
        <w:t>single</w:t>
      </w:r>
      <w:r>
        <w:rPr>
          <w:spacing w:val="-12"/>
          <w:sz w:val="12"/>
        </w:rPr>
        <w:t> </w:t>
      </w:r>
      <w:r>
        <w:rPr>
          <w:spacing w:val="-4"/>
          <w:sz w:val="12"/>
        </w:rPr>
        <w:t>small</w:t>
      </w:r>
      <w:r>
        <w:rPr>
          <w:spacing w:val="-11"/>
          <w:sz w:val="12"/>
        </w:rPr>
        <w:t> </w:t>
      </w:r>
      <w:r>
        <w:rPr>
          <w:spacing w:val="-4"/>
          <w:sz w:val="12"/>
        </w:rPr>
        <w:t>dose </w:t>
      </w:r>
      <w:r>
        <w:rPr>
          <w:sz w:val="12"/>
        </w:rPr>
        <w:t>of</w:t>
      </w:r>
      <w:r>
        <w:rPr>
          <w:spacing w:val="-13"/>
          <w:sz w:val="12"/>
        </w:rPr>
        <w:t> </w:t>
      </w:r>
      <w:r>
        <w:rPr>
          <w:spacing w:val="-4"/>
          <w:sz w:val="12"/>
        </w:rPr>
        <w:t>ketamine</w:t>
      </w:r>
      <w:r>
        <w:rPr>
          <w:spacing w:val="-13"/>
          <w:sz w:val="12"/>
        </w:rPr>
        <w:t> </w:t>
      </w:r>
      <w:r>
        <w:rPr>
          <w:spacing w:val="-3"/>
          <w:sz w:val="12"/>
        </w:rPr>
        <w:t>plus</w:t>
      </w:r>
      <w:r>
        <w:rPr>
          <w:spacing w:val="-13"/>
          <w:sz w:val="12"/>
        </w:rPr>
        <w:t> </w:t>
      </w:r>
      <w:r>
        <w:rPr>
          <w:spacing w:val="-4"/>
          <w:sz w:val="12"/>
        </w:rPr>
        <w:t>morphine</w:t>
      </w:r>
      <w:r>
        <w:rPr>
          <w:spacing w:val="-13"/>
          <w:sz w:val="12"/>
        </w:rPr>
        <w:t> </w:t>
      </w:r>
      <w:r>
        <w:rPr>
          <w:spacing w:val="-5"/>
          <w:sz w:val="12"/>
        </w:rPr>
        <w:t>epidurally.</w:t>
      </w:r>
      <w:r>
        <w:rPr>
          <w:spacing w:val="-13"/>
          <w:sz w:val="12"/>
        </w:rPr>
        <w:t> </w:t>
      </w:r>
      <w:r>
        <w:rPr>
          <w:spacing w:val="-4"/>
          <w:sz w:val="12"/>
        </w:rPr>
        <w:t>Anesth</w:t>
      </w:r>
      <w:r>
        <w:rPr>
          <w:spacing w:val="-13"/>
          <w:sz w:val="12"/>
        </w:rPr>
        <w:t> </w:t>
      </w:r>
      <w:r>
        <w:rPr>
          <w:spacing w:val="-4"/>
          <w:sz w:val="12"/>
        </w:rPr>
        <w:t>Analg.</w:t>
      </w:r>
      <w:r>
        <w:rPr>
          <w:spacing w:val="-13"/>
          <w:sz w:val="12"/>
        </w:rPr>
        <w:t> </w:t>
      </w:r>
      <w:r>
        <w:rPr>
          <w:spacing w:val="-4"/>
          <w:sz w:val="12"/>
        </w:rPr>
        <w:t>2003;</w:t>
      </w:r>
      <w:r>
        <w:rPr>
          <w:spacing w:val="-13"/>
          <w:sz w:val="12"/>
        </w:rPr>
        <w:t> </w:t>
      </w:r>
      <w:r>
        <w:rPr>
          <w:spacing w:val="-4"/>
          <w:sz w:val="12"/>
        </w:rPr>
        <w:t>96:475–</w:t>
      </w:r>
      <w:r>
        <w:rPr>
          <w:spacing w:val="-13"/>
          <w:sz w:val="12"/>
        </w:rPr>
        <w:t> </w:t>
      </w:r>
      <w:r>
        <w:rPr>
          <w:spacing w:val="-4"/>
          <w:sz w:val="12"/>
        </w:rPr>
        <w:t>80.</w:t>
      </w:r>
    </w:p>
    <w:p>
      <w:pPr>
        <w:pStyle w:val="ListParagraph"/>
        <w:numPr>
          <w:ilvl w:val="0"/>
          <w:numId w:val="5"/>
        </w:numPr>
        <w:tabs>
          <w:tab w:pos="625" w:val="left" w:leader="none"/>
        </w:tabs>
        <w:spacing w:line="321" w:lineRule="auto" w:before="2" w:after="0"/>
        <w:ind w:left="397" w:right="294" w:firstLine="0"/>
        <w:jc w:val="both"/>
        <w:rPr>
          <w:sz w:val="12"/>
        </w:rPr>
      </w:pPr>
      <w:r>
        <w:rPr>
          <w:sz w:val="12"/>
        </w:rPr>
        <w:t>Fu ES, Miguel R, Scharf JE. Preemptive ketamine decreases postoperative narcotic requirements in patients undergoing abdominal surgery. Anesth Analg. 1997;84:1086</w:t>
      </w:r>
      <w:r>
        <w:rPr>
          <w:spacing w:val="-3"/>
          <w:sz w:val="12"/>
        </w:rPr>
        <w:t> </w:t>
      </w:r>
      <w:r>
        <w:rPr>
          <w:sz w:val="12"/>
        </w:rPr>
        <w:t>–90</w:t>
      </w:r>
    </w:p>
    <w:p>
      <w:pPr>
        <w:spacing w:line="321" w:lineRule="auto" w:before="1"/>
        <w:ind w:left="397" w:right="293" w:firstLine="0"/>
        <w:jc w:val="both"/>
        <w:rPr>
          <w:rFonts w:ascii="Verdana" w:hAnsi="Verdana"/>
          <w:sz w:val="12"/>
        </w:rPr>
      </w:pPr>
      <w:r>
        <w:rPr>
          <w:rFonts w:ascii="Verdana" w:hAnsi="Verdana"/>
          <w:sz w:val="12"/>
        </w:rPr>
        <w:t>27 Blakeley KR, Klein KW, White PF, et al. A total IV anesthetic technique for outpatient facial laser resurfacing. Anesth Analg. 1998; 87:827–9.</w:t>
      </w:r>
    </w:p>
    <w:p>
      <w:pPr>
        <w:pStyle w:val="ListParagraph"/>
        <w:numPr>
          <w:ilvl w:val="0"/>
          <w:numId w:val="6"/>
        </w:numPr>
        <w:tabs>
          <w:tab w:pos="625" w:val="left" w:leader="none"/>
        </w:tabs>
        <w:spacing w:line="321" w:lineRule="auto" w:before="2" w:after="0"/>
        <w:ind w:left="397" w:right="292" w:firstLine="0"/>
        <w:jc w:val="both"/>
        <w:rPr>
          <w:sz w:val="12"/>
        </w:rPr>
      </w:pPr>
      <w:r>
        <w:rPr>
          <w:sz w:val="12"/>
        </w:rPr>
        <w:t>Reeves M, Lindholm DE, Myles PS, et al. Adding ketamine to morphine for patient-controlled analgesia after major abdominal surgery: a double-blinded, randomized controlled trial. Anesth Analg. 2001; 93:116–20.</w:t>
      </w:r>
    </w:p>
    <w:p>
      <w:pPr>
        <w:pStyle w:val="ListParagraph"/>
        <w:numPr>
          <w:ilvl w:val="0"/>
          <w:numId w:val="6"/>
        </w:numPr>
        <w:tabs>
          <w:tab w:pos="625" w:val="left" w:leader="none"/>
        </w:tabs>
        <w:spacing w:line="321" w:lineRule="auto" w:before="2" w:after="0"/>
        <w:ind w:left="397" w:right="293" w:firstLine="0"/>
        <w:jc w:val="both"/>
        <w:rPr>
          <w:sz w:val="12"/>
        </w:rPr>
      </w:pPr>
      <w:r>
        <w:rPr>
          <w:sz w:val="12"/>
        </w:rPr>
        <w:t>Nachum </w:t>
      </w:r>
      <w:r>
        <w:rPr>
          <w:spacing w:val="-3"/>
          <w:sz w:val="12"/>
        </w:rPr>
        <w:t>Nesher, </w:t>
      </w:r>
      <w:r>
        <w:rPr>
          <w:sz w:val="12"/>
        </w:rPr>
        <w:t>Margaret </w:t>
      </w:r>
      <w:r>
        <w:rPr>
          <w:spacing w:val="-9"/>
          <w:sz w:val="12"/>
        </w:rPr>
        <w:t>P. </w:t>
      </w:r>
      <w:r>
        <w:rPr>
          <w:sz w:val="12"/>
        </w:rPr>
        <w:t>Ekstein, Yoseph Paz, Nissim Marouani, Shoshana Chazan and Avi A. Weinbroum: Morphine With Adjuvant Ketamine vs Higher Dose of Morphine Alone for Immediate Postthoracotomy Analgesia. Chest 2009;</w:t>
      </w:r>
      <w:r>
        <w:rPr>
          <w:spacing w:val="-12"/>
          <w:sz w:val="12"/>
        </w:rPr>
        <w:t> </w:t>
      </w:r>
      <w:r>
        <w:rPr>
          <w:sz w:val="12"/>
        </w:rPr>
        <w:t>136:245-252.</w:t>
      </w:r>
    </w:p>
    <w:p>
      <w:pPr>
        <w:pStyle w:val="ListParagraph"/>
        <w:numPr>
          <w:ilvl w:val="0"/>
          <w:numId w:val="6"/>
        </w:numPr>
        <w:tabs>
          <w:tab w:pos="625" w:val="left" w:leader="none"/>
        </w:tabs>
        <w:spacing w:line="321" w:lineRule="auto" w:before="2" w:after="0"/>
        <w:ind w:left="397" w:right="293" w:firstLine="0"/>
        <w:jc w:val="both"/>
        <w:rPr>
          <w:sz w:val="12"/>
        </w:rPr>
      </w:pPr>
      <w:r>
        <w:rPr>
          <w:sz w:val="12"/>
        </w:rPr>
        <w:t>Adam </w:t>
      </w:r>
      <w:r>
        <w:rPr>
          <w:spacing w:val="-9"/>
          <w:sz w:val="12"/>
        </w:rPr>
        <w:t>F, </w:t>
      </w:r>
      <w:r>
        <w:rPr>
          <w:sz w:val="12"/>
        </w:rPr>
        <w:t>Libier M, Oszustowics </w:t>
      </w:r>
      <w:r>
        <w:rPr>
          <w:spacing w:val="-9"/>
          <w:sz w:val="12"/>
        </w:rPr>
        <w:t>T, </w:t>
      </w:r>
      <w:r>
        <w:rPr>
          <w:sz w:val="12"/>
        </w:rPr>
        <w:t>et al. Preoperative small-dose ketamine</w:t>
      </w:r>
      <w:r>
        <w:rPr>
          <w:spacing w:val="-10"/>
          <w:sz w:val="12"/>
        </w:rPr>
        <w:t> </w:t>
      </w:r>
      <w:r>
        <w:rPr>
          <w:sz w:val="12"/>
        </w:rPr>
        <w:t>has</w:t>
      </w:r>
      <w:r>
        <w:rPr>
          <w:spacing w:val="-9"/>
          <w:sz w:val="12"/>
        </w:rPr>
        <w:t> </w:t>
      </w:r>
      <w:r>
        <w:rPr>
          <w:sz w:val="12"/>
        </w:rPr>
        <w:t>no</w:t>
      </w:r>
      <w:r>
        <w:rPr>
          <w:spacing w:val="-10"/>
          <w:sz w:val="12"/>
        </w:rPr>
        <w:t> </w:t>
      </w:r>
      <w:r>
        <w:rPr>
          <w:sz w:val="12"/>
        </w:rPr>
        <w:t>preemptive</w:t>
      </w:r>
      <w:r>
        <w:rPr>
          <w:spacing w:val="-9"/>
          <w:sz w:val="12"/>
        </w:rPr>
        <w:t> </w:t>
      </w:r>
      <w:r>
        <w:rPr>
          <w:sz w:val="12"/>
        </w:rPr>
        <w:t>analgesic</w:t>
      </w:r>
      <w:r>
        <w:rPr>
          <w:spacing w:val="-9"/>
          <w:sz w:val="12"/>
        </w:rPr>
        <w:t> </w:t>
      </w:r>
      <w:r>
        <w:rPr>
          <w:sz w:val="12"/>
        </w:rPr>
        <w:t>effect</w:t>
      </w:r>
      <w:r>
        <w:rPr>
          <w:spacing w:val="-10"/>
          <w:sz w:val="12"/>
        </w:rPr>
        <w:t> </w:t>
      </w:r>
      <w:r>
        <w:rPr>
          <w:sz w:val="12"/>
        </w:rPr>
        <w:t>in</w:t>
      </w:r>
      <w:r>
        <w:rPr>
          <w:spacing w:val="-9"/>
          <w:sz w:val="12"/>
        </w:rPr>
        <w:t> </w:t>
      </w:r>
      <w:r>
        <w:rPr>
          <w:sz w:val="12"/>
        </w:rPr>
        <w:t>patients</w:t>
      </w:r>
      <w:r>
        <w:rPr>
          <w:spacing w:val="-10"/>
          <w:sz w:val="12"/>
        </w:rPr>
        <w:t> </w:t>
      </w:r>
      <w:r>
        <w:rPr>
          <w:sz w:val="12"/>
        </w:rPr>
        <w:t>undergoing total mastectomy. Anesth Analg. 1999;</w:t>
      </w:r>
      <w:r>
        <w:rPr>
          <w:spacing w:val="-4"/>
          <w:sz w:val="12"/>
        </w:rPr>
        <w:t> </w:t>
      </w:r>
      <w:r>
        <w:rPr>
          <w:sz w:val="12"/>
        </w:rPr>
        <w:t>89:444-7.</w:t>
      </w:r>
    </w:p>
    <w:p>
      <w:pPr>
        <w:pStyle w:val="ListParagraph"/>
        <w:numPr>
          <w:ilvl w:val="0"/>
          <w:numId w:val="6"/>
        </w:numPr>
        <w:tabs>
          <w:tab w:pos="625" w:val="left" w:leader="none"/>
        </w:tabs>
        <w:spacing w:line="321" w:lineRule="auto" w:before="2" w:after="0"/>
        <w:ind w:left="397" w:right="294" w:firstLine="0"/>
        <w:jc w:val="both"/>
        <w:rPr>
          <w:sz w:val="12"/>
        </w:rPr>
      </w:pPr>
      <w:r>
        <w:rPr>
          <w:sz w:val="12"/>
        </w:rPr>
        <w:t>Kucuk N, Kizilkaya M, Tokdemir M. Preoperative peridural ketamine does not have a postoperative opioid sparing effect. Anesth Analg. 1998; 87:103-6.</w:t>
      </w:r>
    </w:p>
    <w:p>
      <w:pPr>
        <w:pStyle w:val="ListParagraph"/>
        <w:numPr>
          <w:ilvl w:val="0"/>
          <w:numId w:val="6"/>
        </w:numPr>
        <w:tabs>
          <w:tab w:pos="625" w:val="left" w:leader="none"/>
        </w:tabs>
        <w:spacing w:line="321" w:lineRule="auto" w:before="1" w:after="0"/>
        <w:ind w:left="397" w:right="292" w:firstLine="0"/>
        <w:jc w:val="both"/>
        <w:rPr>
          <w:sz w:val="12"/>
        </w:rPr>
      </w:pPr>
      <w:r>
        <w:rPr>
          <w:sz w:val="12"/>
        </w:rPr>
        <w:t>Suzuki M, Tsueda K, Lansing PS, et al. Small-dose </w:t>
      </w:r>
      <w:r>
        <w:rPr>
          <w:spacing w:val="-3"/>
          <w:sz w:val="12"/>
        </w:rPr>
        <w:t>ketamine </w:t>
      </w:r>
      <w:r>
        <w:rPr>
          <w:sz w:val="12"/>
        </w:rPr>
        <w:t>enhances morphine-induced analgesia after outpatient </w:t>
      </w:r>
      <w:r>
        <w:rPr>
          <w:spacing w:val="-4"/>
          <w:sz w:val="12"/>
        </w:rPr>
        <w:t>surgery. </w:t>
      </w:r>
      <w:r>
        <w:rPr>
          <w:sz w:val="12"/>
        </w:rPr>
        <w:t>Anesth Analg. 1999; 89:98-103.</w:t>
      </w:r>
    </w:p>
    <w:p>
      <w:pPr>
        <w:pStyle w:val="ListParagraph"/>
        <w:numPr>
          <w:ilvl w:val="0"/>
          <w:numId w:val="6"/>
        </w:numPr>
        <w:tabs>
          <w:tab w:pos="625" w:val="left" w:leader="none"/>
        </w:tabs>
        <w:spacing w:line="240" w:lineRule="auto" w:before="2" w:after="0"/>
        <w:ind w:left="624" w:right="0" w:hanging="228"/>
        <w:jc w:val="both"/>
        <w:rPr>
          <w:sz w:val="12"/>
        </w:rPr>
      </w:pPr>
      <w:r>
        <w:rPr>
          <w:sz w:val="12"/>
        </w:rPr>
        <w:t>Kohrs</w:t>
      </w:r>
      <w:r>
        <w:rPr>
          <w:spacing w:val="31"/>
          <w:sz w:val="12"/>
        </w:rPr>
        <w:t> </w:t>
      </w:r>
      <w:r>
        <w:rPr>
          <w:sz w:val="12"/>
        </w:rPr>
        <w:t>R,</w:t>
      </w:r>
      <w:r>
        <w:rPr>
          <w:spacing w:val="31"/>
          <w:sz w:val="12"/>
        </w:rPr>
        <w:t> </w:t>
      </w:r>
      <w:r>
        <w:rPr>
          <w:sz w:val="12"/>
        </w:rPr>
        <w:t>Durieux</w:t>
      </w:r>
      <w:r>
        <w:rPr>
          <w:spacing w:val="31"/>
          <w:sz w:val="12"/>
        </w:rPr>
        <w:t> </w:t>
      </w:r>
      <w:r>
        <w:rPr>
          <w:sz w:val="12"/>
        </w:rPr>
        <w:t>ME.</w:t>
      </w:r>
      <w:r>
        <w:rPr>
          <w:spacing w:val="31"/>
          <w:sz w:val="12"/>
        </w:rPr>
        <w:t> </w:t>
      </w:r>
      <w:r>
        <w:rPr>
          <w:sz w:val="12"/>
        </w:rPr>
        <w:t>Ketamine:</w:t>
      </w:r>
      <w:r>
        <w:rPr>
          <w:spacing w:val="31"/>
          <w:sz w:val="12"/>
        </w:rPr>
        <w:t> </w:t>
      </w:r>
      <w:r>
        <w:rPr>
          <w:sz w:val="12"/>
        </w:rPr>
        <w:t>teaching</w:t>
      </w:r>
      <w:r>
        <w:rPr>
          <w:spacing w:val="31"/>
          <w:sz w:val="12"/>
        </w:rPr>
        <w:t> </w:t>
      </w:r>
      <w:r>
        <w:rPr>
          <w:sz w:val="12"/>
        </w:rPr>
        <w:t>an</w:t>
      </w:r>
      <w:r>
        <w:rPr>
          <w:spacing w:val="31"/>
          <w:sz w:val="12"/>
        </w:rPr>
        <w:t> </w:t>
      </w:r>
      <w:r>
        <w:rPr>
          <w:sz w:val="12"/>
        </w:rPr>
        <w:t>old</w:t>
      </w:r>
      <w:r>
        <w:rPr>
          <w:spacing w:val="31"/>
          <w:sz w:val="12"/>
        </w:rPr>
        <w:t> </w:t>
      </w:r>
      <w:r>
        <w:rPr>
          <w:sz w:val="12"/>
        </w:rPr>
        <w:t>drug</w:t>
      </w:r>
      <w:r>
        <w:rPr>
          <w:spacing w:val="31"/>
          <w:sz w:val="12"/>
        </w:rPr>
        <w:t> </w:t>
      </w:r>
      <w:r>
        <w:rPr>
          <w:sz w:val="12"/>
        </w:rPr>
        <w:t>new</w:t>
      </w:r>
    </w:p>
    <w:p>
      <w:pPr>
        <w:spacing w:before="50"/>
        <w:ind w:left="397" w:right="0" w:firstLine="0"/>
        <w:jc w:val="both"/>
        <w:rPr>
          <w:rFonts w:ascii="Verdana" w:hAnsi="Verdana"/>
          <w:sz w:val="12"/>
        </w:rPr>
      </w:pPr>
      <w:r>
        <w:rPr>
          <w:rFonts w:ascii="Verdana" w:hAnsi="Verdana"/>
          <w:sz w:val="12"/>
        </w:rPr>
        <w:t>tricks. Anesth Analg. 1998; 87:1186 –93.</w:t>
      </w:r>
    </w:p>
    <w:p>
      <w:pPr>
        <w:pStyle w:val="ListParagraph"/>
        <w:numPr>
          <w:ilvl w:val="0"/>
          <w:numId w:val="6"/>
        </w:numPr>
        <w:tabs>
          <w:tab w:pos="625" w:val="left" w:leader="none"/>
        </w:tabs>
        <w:spacing w:line="321" w:lineRule="auto" w:before="50" w:after="0"/>
        <w:ind w:left="397" w:right="293" w:firstLine="0"/>
        <w:jc w:val="both"/>
        <w:rPr>
          <w:sz w:val="12"/>
        </w:rPr>
      </w:pPr>
      <w:r>
        <w:rPr>
          <w:sz w:val="12"/>
        </w:rPr>
        <w:t>Ashley R. Webb, S. </w:t>
      </w:r>
      <w:r>
        <w:rPr>
          <w:spacing w:val="-3"/>
          <w:sz w:val="12"/>
        </w:rPr>
        <w:t>Skinner, </w:t>
      </w:r>
      <w:r>
        <w:rPr>
          <w:sz w:val="12"/>
        </w:rPr>
        <w:t>Samuel Leong, Helen Kolawole, </w:t>
      </w:r>
      <w:r>
        <w:rPr>
          <w:spacing w:val="-3"/>
          <w:sz w:val="12"/>
        </w:rPr>
        <w:t>Tyron </w:t>
      </w:r>
      <w:r>
        <w:rPr>
          <w:sz w:val="12"/>
        </w:rPr>
        <w:t>Crofts, Murray </w:t>
      </w:r>
      <w:r>
        <w:rPr>
          <w:spacing w:val="-4"/>
          <w:sz w:val="12"/>
        </w:rPr>
        <w:t>Taverner, </w:t>
      </w:r>
      <w:r>
        <w:rPr>
          <w:sz w:val="12"/>
        </w:rPr>
        <w:t>Sara J. Burn: The Addition of a Small-Dose Ketamine Infusion to Tramadol for Postoperative Analgesia: A Double-Blinded, Placebo-Controlled, Randomized </w:t>
      </w:r>
      <w:r>
        <w:rPr>
          <w:spacing w:val="-3"/>
          <w:sz w:val="12"/>
        </w:rPr>
        <w:t>Trial </w:t>
      </w:r>
      <w:r>
        <w:rPr>
          <w:sz w:val="12"/>
        </w:rPr>
        <w:t>After Abdominal Surgery. Anesth Analg</w:t>
      </w:r>
      <w:r>
        <w:rPr>
          <w:spacing w:val="-4"/>
          <w:sz w:val="12"/>
        </w:rPr>
        <w:t> </w:t>
      </w:r>
      <w:r>
        <w:rPr>
          <w:sz w:val="12"/>
        </w:rPr>
        <w:t>2007;104:912–7.</w:t>
      </w:r>
    </w:p>
    <w:p>
      <w:pPr>
        <w:pStyle w:val="ListParagraph"/>
        <w:numPr>
          <w:ilvl w:val="0"/>
          <w:numId w:val="6"/>
        </w:numPr>
        <w:tabs>
          <w:tab w:pos="625" w:val="left" w:leader="none"/>
        </w:tabs>
        <w:spacing w:line="321" w:lineRule="auto" w:before="3" w:after="0"/>
        <w:ind w:left="397" w:right="293" w:firstLine="0"/>
        <w:jc w:val="both"/>
        <w:rPr>
          <w:sz w:val="12"/>
        </w:rPr>
      </w:pPr>
      <w:r>
        <w:rPr>
          <w:sz w:val="12"/>
        </w:rPr>
        <w:t>María Carolina Cabrera S, Mónica Trujillo, Sr Miguel Ángel Cumsille,</w:t>
      </w:r>
      <w:r>
        <w:rPr>
          <w:spacing w:val="-5"/>
          <w:sz w:val="12"/>
        </w:rPr>
        <w:t> </w:t>
      </w:r>
      <w:r>
        <w:rPr>
          <w:sz w:val="12"/>
        </w:rPr>
        <w:t>Silvia</w:t>
      </w:r>
      <w:r>
        <w:rPr>
          <w:spacing w:val="-5"/>
          <w:sz w:val="12"/>
        </w:rPr>
        <w:t> </w:t>
      </w:r>
      <w:r>
        <w:rPr>
          <w:sz w:val="12"/>
        </w:rPr>
        <w:t>Schmied</w:t>
      </w:r>
      <w:r>
        <w:rPr>
          <w:spacing w:val="-5"/>
          <w:sz w:val="12"/>
        </w:rPr>
        <w:t> </w:t>
      </w:r>
      <w:r>
        <w:rPr>
          <w:sz w:val="12"/>
        </w:rPr>
        <w:t>et</w:t>
      </w:r>
      <w:r>
        <w:rPr>
          <w:spacing w:val="-5"/>
          <w:sz w:val="12"/>
        </w:rPr>
        <w:t> </w:t>
      </w:r>
      <w:r>
        <w:rPr>
          <w:sz w:val="12"/>
        </w:rPr>
        <w:t>al.</w:t>
      </w:r>
      <w:r>
        <w:rPr>
          <w:spacing w:val="-5"/>
          <w:sz w:val="12"/>
        </w:rPr>
        <w:t> </w:t>
      </w:r>
      <w:r>
        <w:rPr>
          <w:sz w:val="12"/>
        </w:rPr>
        <w:t>Ketamina</w:t>
      </w:r>
      <w:r>
        <w:rPr>
          <w:spacing w:val="-5"/>
          <w:sz w:val="12"/>
        </w:rPr>
        <w:t> </w:t>
      </w:r>
      <w:r>
        <w:rPr>
          <w:sz w:val="12"/>
        </w:rPr>
        <w:t>Endovenosa</w:t>
      </w:r>
      <w:r>
        <w:rPr>
          <w:spacing w:val="-5"/>
          <w:sz w:val="12"/>
        </w:rPr>
        <w:t> </w:t>
      </w:r>
      <w:r>
        <w:rPr>
          <w:sz w:val="12"/>
        </w:rPr>
        <w:t>Preoperatoria Mejora la Analgesia Postoperatoria de Colecistectomías Laparoscópicas. Boletín El Dolor 15: 8-12,</w:t>
      </w:r>
      <w:r>
        <w:rPr>
          <w:spacing w:val="-2"/>
          <w:sz w:val="12"/>
        </w:rPr>
        <w:t> </w:t>
      </w:r>
      <w:r>
        <w:rPr>
          <w:sz w:val="12"/>
        </w:rPr>
        <w:t>2006.</w:t>
      </w:r>
    </w:p>
    <w:p>
      <w:pPr>
        <w:pStyle w:val="ListParagraph"/>
        <w:numPr>
          <w:ilvl w:val="0"/>
          <w:numId w:val="6"/>
        </w:numPr>
        <w:tabs>
          <w:tab w:pos="625" w:val="left" w:leader="none"/>
        </w:tabs>
        <w:spacing w:line="321" w:lineRule="auto" w:before="2" w:after="0"/>
        <w:ind w:left="397" w:right="292" w:firstLine="0"/>
        <w:jc w:val="both"/>
        <w:rPr>
          <w:sz w:val="12"/>
        </w:rPr>
      </w:pPr>
      <w:r>
        <w:rPr>
          <w:sz w:val="12"/>
        </w:rPr>
        <w:t>Jerome Zakine, David Samarcq, Emmanuel Lorne, Mona Moubarak, Philippe Montravers, Sadek Beloucif, Herve Dupont. Postoperative Ketamine Administration Decreases Morphine Consumption in Major Abdominal Surgery: A Prospective, Randomized, Double-Blind, Controlled </w:t>
      </w:r>
      <w:r>
        <w:rPr>
          <w:spacing w:val="-3"/>
          <w:sz w:val="12"/>
        </w:rPr>
        <w:t>Study. </w:t>
      </w:r>
      <w:r>
        <w:rPr>
          <w:sz w:val="12"/>
        </w:rPr>
        <w:t>Anesth Analg 2008; 106:1856 –61.</w:t>
      </w:r>
    </w:p>
    <w:p>
      <w:pPr>
        <w:pStyle w:val="ListParagraph"/>
        <w:numPr>
          <w:ilvl w:val="0"/>
          <w:numId w:val="6"/>
        </w:numPr>
        <w:tabs>
          <w:tab w:pos="625" w:val="left" w:leader="none"/>
        </w:tabs>
        <w:spacing w:line="321" w:lineRule="auto" w:before="3" w:after="0"/>
        <w:ind w:left="397" w:right="292" w:firstLine="0"/>
        <w:jc w:val="both"/>
        <w:rPr>
          <w:sz w:val="12"/>
        </w:rPr>
      </w:pPr>
      <w:r>
        <w:rPr>
          <w:sz w:val="12"/>
        </w:rPr>
        <w:t>Gillies, A.; Lindholm, D.; Angliss, M.; </w:t>
      </w:r>
      <w:r>
        <w:rPr>
          <w:spacing w:val="-5"/>
          <w:sz w:val="12"/>
        </w:rPr>
        <w:t>Orr, </w:t>
      </w:r>
      <w:r>
        <w:rPr>
          <w:sz w:val="12"/>
        </w:rPr>
        <w:t>A: The use of ketamine as rescue analgesia in the recovery room following morphine administration--a double-blind randomised controlled trial in postoperative patients. Anaesthesia and Intensive Care Apr 1, 2007.</w:t>
      </w:r>
    </w:p>
    <w:p>
      <w:pPr>
        <w:pStyle w:val="ListParagraph"/>
        <w:numPr>
          <w:ilvl w:val="0"/>
          <w:numId w:val="6"/>
        </w:numPr>
        <w:tabs>
          <w:tab w:pos="625" w:val="left" w:leader="none"/>
        </w:tabs>
        <w:spacing w:line="321" w:lineRule="auto" w:before="3" w:after="0"/>
        <w:ind w:left="397" w:right="291" w:firstLine="0"/>
        <w:jc w:val="both"/>
        <w:rPr>
          <w:sz w:val="12"/>
        </w:rPr>
      </w:pPr>
      <w:r>
        <w:rPr>
          <w:sz w:val="12"/>
        </w:rPr>
        <w:t>Frédéric</w:t>
      </w:r>
      <w:r>
        <w:rPr>
          <w:spacing w:val="-9"/>
          <w:sz w:val="12"/>
        </w:rPr>
        <w:t> </w:t>
      </w:r>
      <w:r>
        <w:rPr>
          <w:sz w:val="12"/>
        </w:rPr>
        <w:t>Adam,</w:t>
      </w:r>
      <w:r>
        <w:rPr>
          <w:spacing w:val="-9"/>
          <w:sz w:val="12"/>
        </w:rPr>
        <w:t> </w:t>
      </w:r>
      <w:r>
        <w:rPr>
          <w:spacing w:val="-3"/>
          <w:sz w:val="12"/>
        </w:rPr>
        <w:t>M.D.,</w:t>
      </w:r>
      <w:r>
        <w:rPr>
          <w:spacing w:val="-9"/>
          <w:sz w:val="12"/>
        </w:rPr>
        <w:t> </w:t>
      </w:r>
      <w:r>
        <w:rPr>
          <w:sz w:val="12"/>
        </w:rPr>
        <w:t>Marcel</w:t>
      </w:r>
      <w:r>
        <w:rPr>
          <w:spacing w:val="-9"/>
          <w:sz w:val="12"/>
        </w:rPr>
        <w:t> </w:t>
      </w:r>
      <w:r>
        <w:rPr>
          <w:sz w:val="12"/>
        </w:rPr>
        <w:t>Chauvin,</w:t>
      </w:r>
      <w:r>
        <w:rPr>
          <w:spacing w:val="-9"/>
          <w:sz w:val="12"/>
        </w:rPr>
        <w:t> </w:t>
      </w:r>
      <w:r>
        <w:rPr>
          <w:spacing w:val="-3"/>
          <w:sz w:val="12"/>
        </w:rPr>
        <w:t>M.D.,</w:t>
      </w:r>
      <w:r>
        <w:rPr>
          <w:spacing w:val="-9"/>
          <w:sz w:val="12"/>
        </w:rPr>
        <w:t> </w:t>
      </w:r>
      <w:r>
        <w:rPr>
          <w:sz w:val="12"/>
        </w:rPr>
        <w:t>Bertrand</w:t>
      </w:r>
      <w:r>
        <w:rPr>
          <w:spacing w:val="-9"/>
          <w:sz w:val="12"/>
        </w:rPr>
        <w:t> </w:t>
      </w:r>
      <w:r>
        <w:rPr>
          <w:sz w:val="12"/>
        </w:rPr>
        <w:t>Du</w:t>
      </w:r>
      <w:r>
        <w:rPr>
          <w:spacing w:val="-9"/>
          <w:sz w:val="12"/>
        </w:rPr>
        <w:t> </w:t>
      </w:r>
      <w:r>
        <w:rPr>
          <w:spacing w:val="-3"/>
          <w:sz w:val="12"/>
        </w:rPr>
        <w:t>Manoir, M.D.,</w:t>
      </w:r>
      <w:r>
        <w:rPr>
          <w:spacing w:val="-9"/>
          <w:sz w:val="12"/>
        </w:rPr>
        <w:t> </w:t>
      </w:r>
      <w:r>
        <w:rPr>
          <w:sz w:val="12"/>
        </w:rPr>
        <w:t>Mathieu</w:t>
      </w:r>
      <w:r>
        <w:rPr>
          <w:spacing w:val="-9"/>
          <w:sz w:val="12"/>
        </w:rPr>
        <w:t> </w:t>
      </w:r>
      <w:r>
        <w:rPr>
          <w:sz w:val="12"/>
        </w:rPr>
        <w:t>Langlois,</w:t>
      </w:r>
      <w:r>
        <w:rPr>
          <w:spacing w:val="-9"/>
          <w:sz w:val="12"/>
        </w:rPr>
        <w:t> </w:t>
      </w:r>
      <w:r>
        <w:rPr>
          <w:spacing w:val="-3"/>
          <w:sz w:val="12"/>
        </w:rPr>
        <w:t>M.D.,</w:t>
      </w:r>
      <w:r>
        <w:rPr>
          <w:spacing w:val="-9"/>
          <w:sz w:val="12"/>
        </w:rPr>
        <w:t> </w:t>
      </w:r>
      <w:r>
        <w:rPr>
          <w:sz w:val="12"/>
        </w:rPr>
        <w:t>Daniel</w:t>
      </w:r>
      <w:r>
        <w:rPr>
          <w:spacing w:val="-8"/>
          <w:sz w:val="12"/>
        </w:rPr>
        <w:t> </w:t>
      </w:r>
      <w:r>
        <w:rPr>
          <w:sz w:val="12"/>
        </w:rPr>
        <w:t>I.</w:t>
      </w:r>
      <w:r>
        <w:rPr>
          <w:spacing w:val="-9"/>
          <w:sz w:val="12"/>
        </w:rPr>
        <w:t> </w:t>
      </w:r>
      <w:r>
        <w:rPr>
          <w:spacing w:val="-3"/>
          <w:sz w:val="12"/>
        </w:rPr>
        <w:t>Sessler,</w:t>
      </w:r>
      <w:r>
        <w:rPr>
          <w:spacing w:val="-9"/>
          <w:sz w:val="12"/>
        </w:rPr>
        <w:t> </w:t>
      </w:r>
      <w:r>
        <w:rPr>
          <w:spacing w:val="-3"/>
          <w:sz w:val="12"/>
        </w:rPr>
        <w:t>M.D.,</w:t>
      </w:r>
      <w:r>
        <w:rPr>
          <w:spacing w:val="-9"/>
          <w:sz w:val="12"/>
        </w:rPr>
        <w:t> </w:t>
      </w:r>
      <w:r>
        <w:rPr>
          <w:sz w:val="12"/>
        </w:rPr>
        <w:t>and</w:t>
      </w:r>
      <w:r>
        <w:rPr>
          <w:spacing w:val="-8"/>
          <w:sz w:val="12"/>
        </w:rPr>
        <w:t> </w:t>
      </w:r>
      <w:r>
        <w:rPr>
          <w:sz w:val="12"/>
        </w:rPr>
        <w:t>Dominique Fletcher, M.D.: Small Dose Ketamine Improves Postoperative Analgesia and Rehabilitation After </w:t>
      </w:r>
      <w:r>
        <w:rPr>
          <w:spacing w:val="-3"/>
          <w:sz w:val="12"/>
        </w:rPr>
        <w:t>Total </w:t>
      </w:r>
      <w:r>
        <w:rPr>
          <w:sz w:val="12"/>
        </w:rPr>
        <w:t>Knee Arthroplasty. Anesth Analg. 2005 February; 100(2):</w:t>
      </w:r>
      <w:r>
        <w:rPr>
          <w:spacing w:val="-1"/>
          <w:sz w:val="12"/>
        </w:rPr>
        <w:t> </w:t>
      </w:r>
      <w:r>
        <w:rPr>
          <w:sz w:val="12"/>
        </w:rPr>
        <w:t>475–480.</w:t>
      </w:r>
    </w:p>
    <w:sectPr>
      <w:type w:val="continuous"/>
      <w:pgSz w:w="11910" w:h="15310"/>
      <w:pgMar w:top="0" w:bottom="280" w:left="1020" w:right="1020"/>
      <w:cols w:num="2" w:equalWidth="0">
        <w:col w:w="4680" w:space="445"/>
        <w:col w:w="474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695702pt;margin-top:33.721985pt;width:224.4pt;height:21pt;mso-position-horizontal-relative:page;mso-position-vertical-relative:page;z-index:-16084992" type="#_x0000_t202" filled="false" stroked="false">
          <v:textbox inset="0,0,0,0">
            <w:txbxContent>
              <w:p>
                <w:pPr>
                  <w:spacing w:line="193" w:lineRule="exact" w:before="12"/>
                  <w:ind w:left="20" w:right="0" w:firstLine="0"/>
                  <w:jc w:val="left"/>
                  <w:rPr>
                    <w:i/>
                    <w:sz w:val="18"/>
                  </w:rPr>
                </w:pPr>
                <w:r>
                  <w:rPr>
                    <w:i/>
                    <w:color w:val="6D6E71"/>
                    <w:sz w:val="18"/>
                  </w:rPr>
                  <w:t>Rol de la Administración de Bajas Dosis de Ketamina para el</w:t>
                </w:r>
              </w:p>
              <w:p>
                <w:pPr>
                  <w:spacing w:line="193" w:lineRule="exact" w:before="0"/>
                  <w:ind w:left="20" w:right="0" w:firstLine="0"/>
                  <w:jc w:val="left"/>
                  <w:rPr>
                    <w:i/>
                    <w:sz w:val="18"/>
                  </w:rPr>
                </w:pPr>
                <w:r>
                  <w:rPr>
                    <w:i/>
                    <w:color w:val="6D6E71"/>
                    <w:sz w:val="18"/>
                  </w:rPr>
                  <w:t>Manejo del Dolor Agudo Postoperatorio</w:t>
                </w:r>
              </w:p>
            </w:txbxContent>
          </v:textbox>
          <w10:wrap type="none"/>
        </v:shape>
      </w:pict>
    </w:r>
    <w:r>
      <w:rPr/>
      <w:pict>
        <v:shape style="position:absolute;margin-left:526.582703pt;margin-top:44.152985pt;width:15pt;height:12pt;mso-position-horizontal-relative:page;mso-position-vertical-relative:page;z-index:-16084480" type="#_x0000_t202" filled="false" stroked="false">
          <v:textbox inset="0,0,0,0">
            <w:txbxContent>
              <w:p>
                <w:pPr>
                  <w:pStyle w:val="BodyText"/>
                  <w:spacing w:before="12"/>
                  <w:ind w:left="60"/>
                </w:pPr>
                <w:r>
                  <w:rPr/>
                  <w:fldChar w:fldCharType="begin"/>
                </w:r>
                <w:r>
                  <w:rPr/>
                  <w:instrText> PAGE </w:instrText>
                </w:r>
                <w:r>
                  <w:rPr/>
                  <w:fldChar w:fldCharType="separate"/>
                </w:r>
                <w:r>
                  <w:rPr/>
                  <w:t>25</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083968" from="56.692902pt,56.192604pt" to="538.582902pt,56.192604pt" stroked="true" strokeweight="1pt" strokecolor="#000000">
          <v:stroke dashstyle="solid"/>
          <w10:wrap type="none"/>
        </v:line>
      </w:pict>
    </w:r>
    <w:r>
      <w:rPr/>
      <w:pict>
        <v:shape style="position:absolute;margin-left:193.590897pt;margin-top:42.931786pt;width:89.8pt;height:12pt;mso-position-horizontal-relative:page;mso-position-vertical-relative:page;z-index:-16083456" type="#_x0000_t202" filled="false" stroked="false">
          <v:textbox inset="0,0,0,0">
            <w:txbxContent>
              <w:p>
                <w:pPr>
                  <w:spacing w:before="12"/>
                  <w:ind w:left="20" w:right="0" w:firstLine="0"/>
                  <w:jc w:val="left"/>
                  <w:rPr>
                    <w:i/>
                    <w:sz w:val="18"/>
                  </w:rPr>
                </w:pPr>
                <w:r>
                  <w:rPr>
                    <w:i/>
                    <w:color w:val="6D6E71"/>
                    <w:sz w:val="18"/>
                  </w:rPr>
                  <w:t>Contreras, Victor y cols.</w:t>
                </w:r>
              </w:p>
            </w:txbxContent>
          </v:textbox>
          <w10:wrap type="none"/>
        </v:shape>
      </w:pict>
    </w:r>
    <w:r>
      <w:rPr/>
      <w:pict>
        <v:shape style="position:absolute;margin-left:351.738892pt;margin-top:43.642784pt;width:187.85pt;height:12pt;mso-position-horizontal-relative:page;mso-position-vertical-relative:page;z-index:-16082944" type="#_x0000_t202" filled="false" stroked="false">
          <v:textbox inset="0,0,0,0">
            <w:txbxContent>
              <w:p>
                <w:pPr>
                  <w:spacing w:before="12"/>
                  <w:ind w:left="20" w:right="0" w:firstLine="0"/>
                  <w:jc w:val="left"/>
                  <w:rPr>
                    <w:i/>
                    <w:sz w:val="18"/>
                  </w:rPr>
                </w:pPr>
                <w:r>
                  <w:rPr>
                    <w:i/>
                    <w:sz w:val="18"/>
                  </w:rPr>
                  <w:t>Revista El Dolor - Nº 56 - Año 20 - Diciembre </w:t>
                </w:r>
                <w:r>
                  <w:rPr>
                    <w:i/>
                    <w:spacing w:val="-4"/>
                    <w:sz w:val="18"/>
                  </w:rPr>
                  <w:t>2011</w:t>
                </w:r>
              </w:p>
            </w:txbxContent>
          </v:textbox>
          <w10:wrap type="none"/>
        </v:shape>
      </w:pict>
    </w:r>
    <w:r>
      <w:rPr/>
      <w:pict>
        <v:shape style="position:absolute;margin-left:53.692902pt;margin-top:44.164783pt;width:15pt;height:12pt;mso-position-horizontal-relative:page;mso-position-vertical-relative:page;z-index:-16082432" type="#_x0000_t202" filled="false" stroked="false">
          <v:textbox inset="0,0,0,0">
            <w:txbxContent>
              <w:p>
                <w:pPr>
                  <w:pStyle w:val="BodyText"/>
                  <w:spacing w:before="12"/>
                  <w:ind w:left="60"/>
                </w:pPr>
                <w:r>
                  <w:rPr/>
                  <w:fldChar w:fldCharType="begin"/>
                </w:r>
                <w:r>
                  <w:rPr/>
                  <w:instrText> PAGE </w:instrText>
                </w:r>
                <w:r>
                  <w:rPr/>
                  <w:fldChar w:fldCharType="separate"/>
                </w:r>
                <w:r>
                  <w:rPr/>
                  <w:t>26</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28"/>
      <w:numFmt w:val="decimal"/>
      <w:lvlText w:val="%1."/>
      <w:lvlJc w:val="left"/>
      <w:pPr>
        <w:ind w:left="397" w:hanging="227"/>
        <w:jc w:val="left"/>
      </w:pPr>
      <w:rPr>
        <w:rFonts w:hint="default" w:ascii="Verdana" w:hAnsi="Verdana" w:eastAsia="Verdana" w:cs="Verdana"/>
        <w:w w:val="100"/>
        <w:sz w:val="12"/>
        <w:szCs w:val="12"/>
        <w:lang w:val="es-ES" w:eastAsia="en-US" w:bidi="ar-SA"/>
      </w:rPr>
    </w:lvl>
    <w:lvl w:ilvl="1">
      <w:start w:val="0"/>
      <w:numFmt w:val="bullet"/>
      <w:lvlText w:val="•"/>
      <w:lvlJc w:val="left"/>
      <w:pPr>
        <w:ind w:left="834" w:hanging="227"/>
      </w:pPr>
      <w:rPr>
        <w:rFonts w:hint="default"/>
        <w:lang w:val="es-ES" w:eastAsia="en-US" w:bidi="ar-SA"/>
      </w:rPr>
    </w:lvl>
    <w:lvl w:ilvl="2">
      <w:start w:val="0"/>
      <w:numFmt w:val="bullet"/>
      <w:lvlText w:val="•"/>
      <w:lvlJc w:val="left"/>
      <w:pPr>
        <w:ind w:left="1268" w:hanging="227"/>
      </w:pPr>
      <w:rPr>
        <w:rFonts w:hint="default"/>
        <w:lang w:val="es-ES" w:eastAsia="en-US" w:bidi="ar-SA"/>
      </w:rPr>
    </w:lvl>
    <w:lvl w:ilvl="3">
      <w:start w:val="0"/>
      <w:numFmt w:val="bullet"/>
      <w:lvlText w:val="•"/>
      <w:lvlJc w:val="left"/>
      <w:pPr>
        <w:ind w:left="1702" w:hanging="227"/>
      </w:pPr>
      <w:rPr>
        <w:rFonts w:hint="default"/>
        <w:lang w:val="es-ES" w:eastAsia="en-US" w:bidi="ar-SA"/>
      </w:rPr>
    </w:lvl>
    <w:lvl w:ilvl="4">
      <w:start w:val="0"/>
      <w:numFmt w:val="bullet"/>
      <w:lvlText w:val="•"/>
      <w:lvlJc w:val="left"/>
      <w:pPr>
        <w:ind w:left="2136" w:hanging="227"/>
      </w:pPr>
      <w:rPr>
        <w:rFonts w:hint="default"/>
        <w:lang w:val="es-ES" w:eastAsia="en-US" w:bidi="ar-SA"/>
      </w:rPr>
    </w:lvl>
    <w:lvl w:ilvl="5">
      <w:start w:val="0"/>
      <w:numFmt w:val="bullet"/>
      <w:lvlText w:val="•"/>
      <w:lvlJc w:val="left"/>
      <w:pPr>
        <w:ind w:left="2570" w:hanging="227"/>
      </w:pPr>
      <w:rPr>
        <w:rFonts w:hint="default"/>
        <w:lang w:val="es-ES" w:eastAsia="en-US" w:bidi="ar-SA"/>
      </w:rPr>
    </w:lvl>
    <w:lvl w:ilvl="6">
      <w:start w:val="0"/>
      <w:numFmt w:val="bullet"/>
      <w:lvlText w:val="•"/>
      <w:lvlJc w:val="left"/>
      <w:pPr>
        <w:ind w:left="3004" w:hanging="227"/>
      </w:pPr>
      <w:rPr>
        <w:rFonts w:hint="default"/>
        <w:lang w:val="es-ES" w:eastAsia="en-US" w:bidi="ar-SA"/>
      </w:rPr>
    </w:lvl>
    <w:lvl w:ilvl="7">
      <w:start w:val="0"/>
      <w:numFmt w:val="bullet"/>
      <w:lvlText w:val="•"/>
      <w:lvlJc w:val="left"/>
      <w:pPr>
        <w:ind w:left="3438" w:hanging="227"/>
      </w:pPr>
      <w:rPr>
        <w:rFonts w:hint="default"/>
        <w:lang w:val="es-ES" w:eastAsia="en-US" w:bidi="ar-SA"/>
      </w:rPr>
    </w:lvl>
    <w:lvl w:ilvl="8">
      <w:start w:val="0"/>
      <w:numFmt w:val="bullet"/>
      <w:lvlText w:val="•"/>
      <w:lvlJc w:val="left"/>
      <w:pPr>
        <w:ind w:left="3872" w:hanging="227"/>
      </w:pPr>
      <w:rPr>
        <w:rFonts w:hint="default"/>
        <w:lang w:val="es-ES" w:eastAsia="en-US" w:bidi="ar-SA"/>
      </w:rPr>
    </w:lvl>
  </w:abstractNum>
  <w:abstractNum w:abstractNumId="4">
    <w:multiLevelType w:val="hybridMultilevel"/>
    <w:lvl w:ilvl="0">
      <w:start w:val="12"/>
      <w:numFmt w:val="decimal"/>
      <w:lvlText w:val="%1."/>
      <w:lvlJc w:val="left"/>
      <w:pPr>
        <w:ind w:left="397" w:hanging="227"/>
        <w:jc w:val="left"/>
      </w:pPr>
      <w:rPr>
        <w:rFonts w:hint="default" w:ascii="Verdana" w:hAnsi="Verdana" w:eastAsia="Verdana" w:cs="Verdana"/>
        <w:w w:val="100"/>
        <w:sz w:val="12"/>
        <w:szCs w:val="12"/>
        <w:lang w:val="es-ES" w:eastAsia="en-US" w:bidi="ar-SA"/>
      </w:rPr>
    </w:lvl>
    <w:lvl w:ilvl="1">
      <w:start w:val="0"/>
      <w:numFmt w:val="bullet"/>
      <w:lvlText w:val="•"/>
      <w:lvlJc w:val="left"/>
      <w:pPr>
        <w:ind w:left="827" w:hanging="227"/>
      </w:pPr>
      <w:rPr>
        <w:rFonts w:hint="default"/>
        <w:lang w:val="es-ES" w:eastAsia="en-US" w:bidi="ar-SA"/>
      </w:rPr>
    </w:lvl>
    <w:lvl w:ilvl="2">
      <w:start w:val="0"/>
      <w:numFmt w:val="bullet"/>
      <w:lvlText w:val="•"/>
      <w:lvlJc w:val="left"/>
      <w:pPr>
        <w:ind w:left="1255" w:hanging="227"/>
      </w:pPr>
      <w:rPr>
        <w:rFonts w:hint="default"/>
        <w:lang w:val="es-ES" w:eastAsia="en-US" w:bidi="ar-SA"/>
      </w:rPr>
    </w:lvl>
    <w:lvl w:ilvl="3">
      <w:start w:val="0"/>
      <w:numFmt w:val="bullet"/>
      <w:lvlText w:val="•"/>
      <w:lvlJc w:val="left"/>
      <w:pPr>
        <w:ind w:left="1683" w:hanging="227"/>
      </w:pPr>
      <w:rPr>
        <w:rFonts w:hint="default"/>
        <w:lang w:val="es-ES" w:eastAsia="en-US" w:bidi="ar-SA"/>
      </w:rPr>
    </w:lvl>
    <w:lvl w:ilvl="4">
      <w:start w:val="0"/>
      <w:numFmt w:val="bullet"/>
      <w:lvlText w:val="•"/>
      <w:lvlJc w:val="left"/>
      <w:pPr>
        <w:ind w:left="2111" w:hanging="227"/>
      </w:pPr>
      <w:rPr>
        <w:rFonts w:hint="default"/>
        <w:lang w:val="es-ES" w:eastAsia="en-US" w:bidi="ar-SA"/>
      </w:rPr>
    </w:lvl>
    <w:lvl w:ilvl="5">
      <w:start w:val="0"/>
      <w:numFmt w:val="bullet"/>
      <w:lvlText w:val="•"/>
      <w:lvlJc w:val="left"/>
      <w:pPr>
        <w:ind w:left="2539" w:hanging="227"/>
      </w:pPr>
      <w:rPr>
        <w:rFonts w:hint="default"/>
        <w:lang w:val="es-ES" w:eastAsia="en-US" w:bidi="ar-SA"/>
      </w:rPr>
    </w:lvl>
    <w:lvl w:ilvl="6">
      <w:start w:val="0"/>
      <w:numFmt w:val="bullet"/>
      <w:lvlText w:val="•"/>
      <w:lvlJc w:val="left"/>
      <w:pPr>
        <w:ind w:left="2967" w:hanging="227"/>
      </w:pPr>
      <w:rPr>
        <w:rFonts w:hint="default"/>
        <w:lang w:val="es-ES" w:eastAsia="en-US" w:bidi="ar-SA"/>
      </w:rPr>
    </w:lvl>
    <w:lvl w:ilvl="7">
      <w:start w:val="0"/>
      <w:numFmt w:val="bullet"/>
      <w:lvlText w:val="•"/>
      <w:lvlJc w:val="left"/>
      <w:pPr>
        <w:ind w:left="3395" w:hanging="227"/>
      </w:pPr>
      <w:rPr>
        <w:rFonts w:hint="default"/>
        <w:lang w:val="es-ES" w:eastAsia="en-US" w:bidi="ar-SA"/>
      </w:rPr>
    </w:lvl>
    <w:lvl w:ilvl="8">
      <w:start w:val="0"/>
      <w:numFmt w:val="bullet"/>
      <w:lvlText w:val="•"/>
      <w:lvlJc w:val="left"/>
      <w:pPr>
        <w:ind w:left="3823" w:hanging="227"/>
      </w:pPr>
      <w:rPr>
        <w:rFonts w:hint="default"/>
        <w:lang w:val="es-ES" w:eastAsia="en-US" w:bidi="ar-SA"/>
      </w:rPr>
    </w:lvl>
  </w:abstractNum>
  <w:abstractNum w:abstractNumId="3">
    <w:multiLevelType w:val="hybridMultilevel"/>
    <w:lvl w:ilvl="0">
      <w:start w:val="1"/>
      <w:numFmt w:val="decimal"/>
      <w:lvlText w:val="%1."/>
      <w:lvlJc w:val="left"/>
      <w:pPr>
        <w:ind w:left="397" w:hanging="227"/>
        <w:jc w:val="left"/>
      </w:pPr>
      <w:rPr>
        <w:rFonts w:hint="default" w:ascii="Verdana" w:hAnsi="Verdana" w:eastAsia="Verdana" w:cs="Verdana"/>
        <w:spacing w:val="-21"/>
        <w:w w:val="100"/>
        <w:sz w:val="12"/>
        <w:szCs w:val="12"/>
        <w:lang w:val="es-ES" w:eastAsia="en-US" w:bidi="ar-SA"/>
      </w:rPr>
    </w:lvl>
    <w:lvl w:ilvl="1">
      <w:start w:val="0"/>
      <w:numFmt w:val="bullet"/>
      <w:lvlText w:val="•"/>
      <w:lvlJc w:val="left"/>
      <w:pPr>
        <w:ind w:left="827" w:hanging="227"/>
      </w:pPr>
      <w:rPr>
        <w:rFonts w:hint="default"/>
        <w:lang w:val="es-ES" w:eastAsia="en-US" w:bidi="ar-SA"/>
      </w:rPr>
    </w:lvl>
    <w:lvl w:ilvl="2">
      <w:start w:val="0"/>
      <w:numFmt w:val="bullet"/>
      <w:lvlText w:val="•"/>
      <w:lvlJc w:val="left"/>
      <w:pPr>
        <w:ind w:left="1255" w:hanging="227"/>
      </w:pPr>
      <w:rPr>
        <w:rFonts w:hint="default"/>
        <w:lang w:val="es-ES" w:eastAsia="en-US" w:bidi="ar-SA"/>
      </w:rPr>
    </w:lvl>
    <w:lvl w:ilvl="3">
      <w:start w:val="0"/>
      <w:numFmt w:val="bullet"/>
      <w:lvlText w:val="•"/>
      <w:lvlJc w:val="left"/>
      <w:pPr>
        <w:ind w:left="1683" w:hanging="227"/>
      </w:pPr>
      <w:rPr>
        <w:rFonts w:hint="default"/>
        <w:lang w:val="es-ES" w:eastAsia="en-US" w:bidi="ar-SA"/>
      </w:rPr>
    </w:lvl>
    <w:lvl w:ilvl="4">
      <w:start w:val="0"/>
      <w:numFmt w:val="bullet"/>
      <w:lvlText w:val="•"/>
      <w:lvlJc w:val="left"/>
      <w:pPr>
        <w:ind w:left="2111" w:hanging="227"/>
      </w:pPr>
      <w:rPr>
        <w:rFonts w:hint="default"/>
        <w:lang w:val="es-ES" w:eastAsia="en-US" w:bidi="ar-SA"/>
      </w:rPr>
    </w:lvl>
    <w:lvl w:ilvl="5">
      <w:start w:val="0"/>
      <w:numFmt w:val="bullet"/>
      <w:lvlText w:val="•"/>
      <w:lvlJc w:val="left"/>
      <w:pPr>
        <w:ind w:left="2539" w:hanging="227"/>
      </w:pPr>
      <w:rPr>
        <w:rFonts w:hint="default"/>
        <w:lang w:val="es-ES" w:eastAsia="en-US" w:bidi="ar-SA"/>
      </w:rPr>
    </w:lvl>
    <w:lvl w:ilvl="6">
      <w:start w:val="0"/>
      <w:numFmt w:val="bullet"/>
      <w:lvlText w:val="•"/>
      <w:lvlJc w:val="left"/>
      <w:pPr>
        <w:ind w:left="2967" w:hanging="227"/>
      </w:pPr>
      <w:rPr>
        <w:rFonts w:hint="default"/>
        <w:lang w:val="es-ES" w:eastAsia="en-US" w:bidi="ar-SA"/>
      </w:rPr>
    </w:lvl>
    <w:lvl w:ilvl="7">
      <w:start w:val="0"/>
      <w:numFmt w:val="bullet"/>
      <w:lvlText w:val="•"/>
      <w:lvlJc w:val="left"/>
      <w:pPr>
        <w:ind w:left="3395" w:hanging="227"/>
      </w:pPr>
      <w:rPr>
        <w:rFonts w:hint="default"/>
        <w:lang w:val="es-ES" w:eastAsia="en-US" w:bidi="ar-SA"/>
      </w:rPr>
    </w:lvl>
    <w:lvl w:ilvl="8">
      <w:start w:val="0"/>
      <w:numFmt w:val="bullet"/>
      <w:lvlText w:val="•"/>
      <w:lvlJc w:val="left"/>
      <w:pPr>
        <w:ind w:left="3823" w:hanging="227"/>
      </w:pPr>
      <w:rPr>
        <w:rFonts w:hint="default"/>
        <w:lang w:val="es-ES" w:eastAsia="en-US" w:bidi="ar-SA"/>
      </w:rPr>
    </w:lvl>
  </w:abstractNum>
  <w:abstractNum w:abstractNumId="2">
    <w:multiLevelType w:val="hybridMultilevel"/>
    <w:lvl w:ilvl="0">
      <w:start w:val="1"/>
      <w:numFmt w:val="decimal"/>
      <w:lvlText w:val="%1."/>
      <w:lvlJc w:val="left"/>
      <w:pPr>
        <w:ind w:left="233" w:hanging="137"/>
        <w:jc w:val="right"/>
      </w:pPr>
      <w:rPr>
        <w:rFonts w:hint="default" w:ascii="Verdana" w:hAnsi="Verdana" w:eastAsia="Verdana" w:cs="Verdana"/>
        <w:spacing w:val="-9"/>
        <w:w w:val="100"/>
        <w:sz w:val="12"/>
        <w:szCs w:val="12"/>
        <w:lang w:val="es-ES" w:eastAsia="en-US" w:bidi="ar-SA"/>
      </w:rPr>
    </w:lvl>
    <w:lvl w:ilvl="1">
      <w:start w:val="0"/>
      <w:numFmt w:val="bullet"/>
      <w:lvlText w:val="•"/>
      <w:lvlJc w:val="left"/>
      <w:pPr>
        <w:ind w:left="335" w:hanging="137"/>
      </w:pPr>
      <w:rPr>
        <w:rFonts w:hint="default"/>
        <w:lang w:val="es-ES" w:eastAsia="en-US" w:bidi="ar-SA"/>
      </w:rPr>
    </w:lvl>
    <w:lvl w:ilvl="2">
      <w:start w:val="0"/>
      <w:numFmt w:val="bullet"/>
      <w:lvlText w:val="•"/>
      <w:lvlJc w:val="left"/>
      <w:pPr>
        <w:ind w:left="431" w:hanging="137"/>
      </w:pPr>
      <w:rPr>
        <w:rFonts w:hint="default"/>
        <w:lang w:val="es-ES" w:eastAsia="en-US" w:bidi="ar-SA"/>
      </w:rPr>
    </w:lvl>
    <w:lvl w:ilvl="3">
      <w:start w:val="0"/>
      <w:numFmt w:val="bullet"/>
      <w:lvlText w:val="•"/>
      <w:lvlJc w:val="left"/>
      <w:pPr>
        <w:ind w:left="526" w:hanging="137"/>
      </w:pPr>
      <w:rPr>
        <w:rFonts w:hint="default"/>
        <w:lang w:val="es-ES" w:eastAsia="en-US" w:bidi="ar-SA"/>
      </w:rPr>
    </w:lvl>
    <w:lvl w:ilvl="4">
      <w:start w:val="0"/>
      <w:numFmt w:val="bullet"/>
      <w:lvlText w:val="•"/>
      <w:lvlJc w:val="left"/>
      <w:pPr>
        <w:ind w:left="622" w:hanging="137"/>
      </w:pPr>
      <w:rPr>
        <w:rFonts w:hint="default"/>
        <w:lang w:val="es-ES" w:eastAsia="en-US" w:bidi="ar-SA"/>
      </w:rPr>
    </w:lvl>
    <w:lvl w:ilvl="5">
      <w:start w:val="0"/>
      <w:numFmt w:val="bullet"/>
      <w:lvlText w:val="•"/>
      <w:lvlJc w:val="left"/>
      <w:pPr>
        <w:ind w:left="717" w:hanging="137"/>
      </w:pPr>
      <w:rPr>
        <w:rFonts w:hint="default"/>
        <w:lang w:val="es-ES" w:eastAsia="en-US" w:bidi="ar-SA"/>
      </w:rPr>
    </w:lvl>
    <w:lvl w:ilvl="6">
      <w:start w:val="0"/>
      <w:numFmt w:val="bullet"/>
      <w:lvlText w:val="•"/>
      <w:lvlJc w:val="left"/>
      <w:pPr>
        <w:ind w:left="813" w:hanging="137"/>
      </w:pPr>
      <w:rPr>
        <w:rFonts w:hint="default"/>
        <w:lang w:val="es-ES" w:eastAsia="en-US" w:bidi="ar-SA"/>
      </w:rPr>
    </w:lvl>
    <w:lvl w:ilvl="7">
      <w:start w:val="0"/>
      <w:numFmt w:val="bullet"/>
      <w:lvlText w:val="•"/>
      <w:lvlJc w:val="left"/>
      <w:pPr>
        <w:ind w:left="908" w:hanging="137"/>
      </w:pPr>
      <w:rPr>
        <w:rFonts w:hint="default"/>
        <w:lang w:val="es-ES" w:eastAsia="en-US" w:bidi="ar-SA"/>
      </w:rPr>
    </w:lvl>
    <w:lvl w:ilvl="8">
      <w:start w:val="0"/>
      <w:numFmt w:val="bullet"/>
      <w:lvlText w:val="•"/>
      <w:lvlJc w:val="left"/>
      <w:pPr>
        <w:ind w:left="1004" w:hanging="137"/>
      </w:pPr>
      <w:rPr>
        <w:rFonts w:hint="default"/>
        <w:lang w:val="es-ES" w:eastAsia="en-US" w:bidi="ar-SA"/>
      </w:rPr>
    </w:lvl>
  </w:abstractNum>
  <w:abstractNum w:abstractNumId="1">
    <w:multiLevelType w:val="hybridMultilevel"/>
    <w:lvl w:ilvl="0">
      <w:start w:val="1"/>
      <w:numFmt w:val="decimal"/>
      <w:lvlText w:val="%1."/>
      <w:lvlJc w:val="left"/>
      <w:pPr>
        <w:ind w:left="60" w:hanging="139"/>
        <w:jc w:val="left"/>
      </w:pPr>
      <w:rPr>
        <w:rFonts w:hint="default" w:ascii="Verdana" w:hAnsi="Verdana" w:eastAsia="Verdana" w:cs="Verdana"/>
        <w:spacing w:val="-3"/>
        <w:w w:val="100"/>
        <w:sz w:val="12"/>
        <w:szCs w:val="12"/>
        <w:lang w:val="es-ES" w:eastAsia="en-US" w:bidi="ar-SA"/>
      </w:rPr>
    </w:lvl>
    <w:lvl w:ilvl="1">
      <w:start w:val="0"/>
      <w:numFmt w:val="bullet"/>
      <w:lvlText w:val="•"/>
      <w:lvlJc w:val="left"/>
      <w:pPr>
        <w:ind w:left="173" w:hanging="139"/>
      </w:pPr>
      <w:rPr>
        <w:rFonts w:hint="default"/>
        <w:lang w:val="es-ES" w:eastAsia="en-US" w:bidi="ar-SA"/>
      </w:rPr>
    </w:lvl>
    <w:lvl w:ilvl="2">
      <w:start w:val="0"/>
      <w:numFmt w:val="bullet"/>
      <w:lvlText w:val="•"/>
      <w:lvlJc w:val="left"/>
      <w:pPr>
        <w:ind w:left="287" w:hanging="139"/>
      </w:pPr>
      <w:rPr>
        <w:rFonts w:hint="default"/>
        <w:lang w:val="es-ES" w:eastAsia="en-US" w:bidi="ar-SA"/>
      </w:rPr>
    </w:lvl>
    <w:lvl w:ilvl="3">
      <w:start w:val="0"/>
      <w:numFmt w:val="bullet"/>
      <w:lvlText w:val="•"/>
      <w:lvlJc w:val="left"/>
      <w:pPr>
        <w:ind w:left="400" w:hanging="139"/>
      </w:pPr>
      <w:rPr>
        <w:rFonts w:hint="default"/>
        <w:lang w:val="es-ES" w:eastAsia="en-US" w:bidi="ar-SA"/>
      </w:rPr>
    </w:lvl>
    <w:lvl w:ilvl="4">
      <w:start w:val="0"/>
      <w:numFmt w:val="bullet"/>
      <w:lvlText w:val="•"/>
      <w:lvlJc w:val="left"/>
      <w:pPr>
        <w:ind w:left="514" w:hanging="139"/>
      </w:pPr>
      <w:rPr>
        <w:rFonts w:hint="default"/>
        <w:lang w:val="es-ES" w:eastAsia="en-US" w:bidi="ar-SA"/>
      </w:rPr>
    </w:lvl>
    <w:lvl w:ilvl="5">
      <w:start w:val="0"/>
      <w:numFmt w:val="bullet"/>
      <w:lvlText w:val="•"/>
      <w:lvlJc w:val="left"/>
      <w:pPr>
        <w:ind w:left="627" w:hanging="139"/>
      </w:pPr>
      <w:rPr>
        <w:rFonts w:hint="default"/>
        <w:lang w:val="es-ES" w:eastAsia="en-US" w:bidi="ar-SA"/>
      </w:rPr>
    </w:lvl>
    <w:lvl w:ilvl="6">
      <w:start w:val="0"/>
      <w:numFmt w:val="bullet"/>
      <w:lvlText w:val="•"/>
      <w:lvlJc w:val="left"/>
      <w:pPr>
        <w:ind w:left="741" w:hanging="139"/>
      </w:pPr>
      <w:rPr>
        <w:rFonts w:hint="default"/>
        <w:lang w:val="es-ES" w:eastAsia="en-US" w:bidi="ar-SA"/>
      </w:rPr>
    </w:lvl>
    <w:lvl w:ilvl="7">
      <w:start w:val="0"/>
      <w:numFmt w:val="bullet"/>
      <w:lvlText w:val="•"/>
      <w:lvlJc w:val="left"/>
      <w:pPr>
        <w:ind w:left="854" w:hanging="139"/>
      </w:pPr>
      <w:rPr>
        <w:rFonts w:hint="default"/>
        <w:lang w:val="es-ES" w:eastAsia="en-US" w:bidi="ar-SA"/>
      </w:rPr>
    </w:lvl>
    <w:lvl w:ilvl="8">
      <w:start w:val="0"/>
      <w:numFmt w:val="bullet"/>
      <w:lvlText w:val="•"/>
      <w:lvlJc w:val="left"/>
      <w:pPr>
        <w:ind w:left="968" w:hanging="139"/>
      </w:pPr>
      <w:rPr>
        <w:rFonts w:hint="default"/>
        <w:lang w:val="es-ES" w:eastAsia="en-US" w:bidi="ar-SA"/>
      </w:rPr>
    </w:lvl>
  </w:abstractNum>
  <w:abstractNum w:abstractNumId="0">
    <w:multiLevelType w:val="hybridMultilevel"/>
    <w:lvl w:ilvl="0">
      <w:start w:val="1"/>
      <w:numFmt w:val="decimal"/>
      <w:lvlText w:val="(%1)"/>
      <w:lvlJc w:val="left"/>
      <w:pPr>
        <w:ind w:left="424" w:hanging="312"/>
        <w:jc w:val="left"/>
      </w:pPr>
      <w:rPr>
        <w:rFonts w:hint="default" w:ascii="Verdana" w:hAnsi="Verdana" w:eastAsia="Verdana" w:cs="Verdana"/>
        <w:i/>
        <w:color w:val="6D6E71"/>
        <w:spacing w:val="0"/>
        <w:w w:val="100"/>
        <w:sz w:val="16"/>
        <w:szCs w:val="16"/>
        <w:lang w:val="es-ES" w:eastAsia="en-US" w:bidi="ar-SA"/>
      </w:rPr>
    </w:lvl>
    <w:lvl w:ilvl="1">
      <w:start w:val="0"/>
      <w:numFmt w:val="bullet"/>
      <w:lvlText w:val="•"/>
      <w:lvlJc w:val="left"/>
      <w:pPr>
        <w:ind w:left="420" w:hanging="312"/>
      </w:pPr>
      <w:rPr>
        <w:rFonts w:hint="default"/>
        <w:lang w:val="es-ES" w:eastAsia="en-US" w:bidi="ar-SA"/>
      </w:rPr>
    </w:lvl>
    <w:lvl w:ilvl="2">
      <w:start w:val="0"/>
      <w:numFmt w:val="bullet"/>
      <w:lvlText w:val="•"/>
      <w:lvlJc w:val="left"/>
      <w:pPr>
        <w:ind w:left="892" w:hanging="312"/>
      </w:pPr>
      <w:rPr>
        <w:rFonts w:hint="default"/>
        <w:lang w:val="es-ES" w:eastAsia="en-US" w:bidi="ar-SA"/>
      </w:rPr>
    </w:lvl>
    <w:lvl w:ilvl="3">
      <w:start w:val="0"/>
      <w:numFmt w:val="bullet"/>
      <w:lvlText w:val="•"/>
      <w:lvlJc w:val="left"/>
      <w:pPr>
        <w:ind w:left="1365" w:hanging="312"/>
      </w:pPr>
      <w:rPr>
        <w:rFonts w:hint="default"/>
        <w:lang w:val="es-ES" w:eastAsia="en-US" w:bidi="ar-SA"/>
      </w:rPr>
    </w:lvl>
    <w:lvl w:ilvl="4">
      <w:start w:val="0"/>
      <w:numFmt w:val="bullet"/>
      <w:lvlText w:val="•"/>
      <w:lvlJc w:val="left"/>
      <w:pPr>
        <w:ind w:left="1838" w:hanging="312"/>
      </w:pPr>
      <w:rPr>
        <w:rFonts w:hint="default"/>
        <w:lang w:val="es-ES" w:eastAsia="en-US" w:bidi="ar-SA"/>
      </w:rPr>
    </w:lvl>
    <w:lvl w:ilvl="5">
      <w:start w:val="0"/>
      <w:numFmt w:val="bullet"/>
      <w:lvlText w:val="•"/>
      <w:lvlJc w:val="left"/>
      <w:pPr>
        <w:ind w:left="2311" w:hanging="312"/>
      </w:pPr>
      <w:rPr>
        <w:rFonts w:hint="default"/>
        <w:lang w:val="es-ES" w:eastAsia="en-US" w:bidi="ar-SA"/>
      </w:rPr>
    </w:lvl>
    <w:lvl w:ilvl="6">
      <w:start w:val="0"/>
      <w:numFmt w:val="bullet"/>
      <w:lvlText w:val="•"/>
      <w:lvlJc w:val="left"/>
      <w:pPr>
        <w:ind w:left="2784" w:hanging="312"/>
      </w:pPr>
      <w:rPr>
        <w:rFonts w:hint="default"/>
        <w:lang w:val="es-ES" w:eastAsia="en-US" w:bidi="ar-SA"/>
      </w:rPr>
    </w:lvl>
    <w:lvl w:ilvl="7">
      <w:start w:val="0"/>
      <w:numFmt w:val="bullet"/>
      <w:lvlText w:val="•"/>
      <w:lvlJc w:val="left"/>
      <w:pPr>
        <w:ind w:left="3256" w:hanging="312"/>
      </w:pPr>
      <w:rPr>
        <w:rFonts w:hint="default"/>
        <w:lang w:val="es-ES" w:eastAsia="en-US" w:bidi="ar-SA"/>
      </w:rPr>
    </w:lvl>
    <w:lvl w:ilvl="8">
      <w:start w:val="0"/>
      <w:numFmt w:val="bullet"/>
      <w:lvlText w:val="•"/>
      <w:lvlJc w:val="left"/>
      <w:pPr>
        <w:ind w:left="3729" w:hanging="312"/>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s-ES" w:eastAsia="en-US" w:bidi="ar-SA"/>
    </w:rPr>
  </w:style>
  <w:style w:styleId="Heading1" w:type="paragraph">
    <w:name w:val="Heading 1"/>
    <w:basedOn w:val="Normal"/>
    <w:uiPriority w:val="1"/>
    <w:qFormat/>
    <w:pPr>
      <w:spacing w:before="90" w:line="263" w:lineRule="exact"/>
      <w:ind w:left="113"/>
      <w:outlineLvl w:val="1"/>
    </w:pPr>
    <w:rPr>
      <w:rFonts w:ascii="Times New Roman" w:hAnsi="Times New Roman" w:eastAsia="Times New Roman" w:cs="Times New Roman"/>
      <w:b/>
      <w:bCs/>
      <w:sz w:val="24"/>
      <w:szCs w:val="24"/>
      <w:lang w:val="es-ES" w:eastAsia="en-US" w:bidi="ar-SA"/>
    </w:rPr>
  </w:style>
  <w:style w:styleId="Heading2" w:type="paragraph">
    <w:name w:val="Heading 2"/>
    <w:basedOn w:val="Normal"/>
    <w:uiPriority w:val="1"/>
    <w:qFormat/>
    <w:pPr>
      <w:spacing w:before="101"/>
      <w:ind w:left="113"/>
      <w:outlineLvl w:val="2"/>
    </w:pPr>
    <w:rPr>
      <w:rFonts w:ascii="Verdana" w:hAnsi="Verdana" w:eastAsia="Verdana" w:cs="Verdana"/>
      <w:b/>
      <w:bCs/>
      <w:sz w:val="20"/>
      <w:szCs w:val="20"/>
      <w:lang w:val="es-ES" w:eastAsia="en-US" w:bidi="ar-SA"/>
    </w:rPr>
  </w:style>
  <w:style w:styleId="Title" w:type="paragraph">
    <w:name w:val="Title"/>
    <w:basedOn w:val="Normal"/>
    <w:uiPriority w:val="1"/>
    <w:qFormat/>
    <w:pPr>
      <w:spacing w:before="145"/>
      <w:ind w:left="113"/>
    </w:pPr>
    <w:rPr>
      <w:rFonts w:ascii="Times New Roman" w:hAnsi="Times New Roman" w:eastAsia="Times New Roman" w:cs="Times New Roman"/>
      <w:sz w:val="36"/>
      <w:szCs w:val="36"/>
      <w:lang w:val="es-ES" w:eastAsia="en-US" w:bidi="ar-SA"/>
    </w:rPr>
  </w:style>
  <w:style w:styleId="ListParagraph" w:type="paragraph">
    <w:name w:val="List Paragraph"/>
    <w:basedOn w:val="Normal"/>
    <w:uiPriority w:val="1"/>
    <w:qFormat/>
    <w:pPr>
      <w:spacing w:before="2"/>
      <w:ind w:left="397"/>
      <w:jc w:val="both"/>
    </w:pPr>
    <w:rPr>
      <w:rFonts w:ascii="Verdana" w:hAnsi="Verdana" w:eastAsia="Verdana" w:cs="Verdana"/>
      <w:lang w:val="es-ES" w:eastAsia="en-US" w:bidi="ar-SA"/>
    </w:rPr>
  </w:style>
  <w:style w:styleId="TableParagraph" w:type="paragraph">
    <w:name w:val="Table Paragraph"/>
    <w:basedOn w:val="Normal"/>
    <w:uiPriority w:val="1"/>
    <w:qFormat/>
    <w:pPr>
      <w:jc w:val="center"/>
    </w:pPr>
    <w:rPr>
      <w:rFonts w:ascii="Verdana" w:hAnsi="Verdana" w:eastAsia="Verdana" w:cs="Verdan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yperlink" Target="mailto:dr.vcontreras@gmail.com" TargetMode="External"/><Relationship Id="rId10" Type="http://schemas.openxmlformats.org/officeDocument/2006/relationships/hyperlink" Target="mailto:as@gmail.com"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2020-11-30T13:45:59Z</dcterms:created>
  <dcterms:modified xsi:type="dcterms:W3CDTF">2020-11-30T13:45:59Z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2012-04-11T00:00:00Z</vt:filetime>
  </property>
  <property fmtid="{D5CDD505-2E9C-101B-9397-08002B2CF9AE}" pid="3" name="Creator">
    <vt:lpwstr>Adobe InDesign CS5 (7.0)</vt:lpwstr>
  </property>
  <property fmtid="{D5CDD505-2E9C-101B-9397-08002B2CF9AE}" pid="4" name="LastSaved">
    <vt:filetime>2020-11-30T00:00:00Z</vt:filetime>
  </property>
</Properties>
</file>